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pPr>
      <w:r>
        <w:rPr>
          <w:rFonts w:hint="eastAsia"/>
        </w:rPr>
        <w:t>　　　　　（介護予防）訪問入浴介護　</w:t>
      </w:r>
      <w:r>
        <w:rPr>
          <w:rFonts w:hint="eastAsia"/>
          <w:u w:val="single"/>
        </w:rPr>
        <w:t>訪問入浴　ハイジーア</w:t>
      </w:r>
      <w:r>
        <w:rPr>
          <w:rFonts w:hint="eastAsia"/>
        </w:rPr>
        <w:t>　運営規程</w:t>
      </w:r>
    </w:p>
    <w:p/>
    <w:p>
      <w:pPr>
        <w:wordWrap w:val="0"/>
        <w:spacing w:line="536870550" w:lineRule="auto"/>
        <w:ind w:right="215"/>
        <w:jc w:val="left"/>
        <w:rPr>
          <w:b/>
        </w:rPr>
      </w:pPr>
      <w:r>
        <w:rPr>
          <w:rFonts w:hint="eastAsia"/>
          <w:b/>
        </w:rPr>
        <w:t>（事業の目的）</w:t>
      </w:r>
    </w:p>
    <w:p>
      <w:pPr>
        <w:wordWrap w:val="0"/>
        <w:spacing w:line="536870550" w:lineRule="auto"/>
        <w:ind w:left="178" w:right="215" w:hanging="178" w:hangingChars="99"/>
        <w:jc w:val="left"/>
        <w:rPr>
          <w:sz w:val="18"/>
          <w:szCs w:val="18"/>
        </w:rPr>
      </w:pPr>
      <w:r>
        <w:rPr>
          <w:rFonts w:hint="eastAsia"/>
          <w:sz w:val="18"/>
          <w:szCs w:val="18"/>
        </w:rPr>
        <w:t>第１条　株式会社ｈｙｇｅｉａが開設する訪問入浴　ハイジーア（以下「事業所」という）が行う指定訪問入浴介護及び指定介護予防訪問入浴介護（以下「指定訪問入浴介護等」という。）の事業（以下「事業」という）の適正な運営を確保するために人員及び管理運営に関する事項を定め、事業所の看護師、准看護師及び介護職員（以下「訪問入浴介護従事者」という）が、要介護状態又は要支援状態にある者（以下「要介護者等」という）に対し、適正な指定訪問入浴介護等を提供することを目的とする。</w:t>
      </w:r>
    </w:p>
    <w:p>
      <w:pPr>
        <w:wordWrap w:val="0"/>
        <w:spacing w:line="536870550" w:lineRule="auto"/>
        <w:ind w:left="178" w:right="215" w:hanging="178" w:hangingChars="99"/>
        <w:jc w:val="left"/>
        <w:rPr>
          <w:sz w:val="18"/>
          <w:szCs w:val="18"/>
        </w:rPr>
      </w:pPr>
    </w:p>
    <w:p>
      <w:pPr>
        <w:wordWrap w:val="0"/>
        <w:spacing w:line="536870550" w:lineRule="auto"/>
        <w:ind w:right="215"/>
        <w:jc w:val="left"/>
        <w:rPr>
          <w:b/>
          <w:sz w:val="18"/>
          <w:szCs w:val="18"/>
        </w:rPr>
      </w:pPr>
      <w:r>
        <w:rPr>
          <w:rFonts w:hint="eastAsia"/>
          <w:b/>
          <w:sz w:val="18"/>
          <w:szCs w:val="18"/>
        </w:rPr>
        <w:t>（運営の方針）</w:t>
      </w:r>
    </w:p>
    <w:p>
      <w:pPr>
        <w:numPr>
          <w:ilvl w:val="0"/>
          <w:numId w:val="2"/>
        </w:numPr>
        <w:tabs>
          <w:tab w:val="left" w:pos="209"/>
          <w:tab w:val="clear" w:pos="840"/>
        </w:tabs>
        <w:wordWrap w:val="0"/>
        <w:spacing w:line="536870550" w:lineRule="auto"/>
        <w:ind w:left="209" w:right="215" w:hanging="209"/>
        <w:jc w:val="left"/>
        <w:rPr>
          <w:sz w:val="18"/>
          <w:szCs w:val="18"/>
        </w:rPr>
      </w:pPr>
      <w:r>
        <w:rPr>
          <w:rFonts w:hint="eastAsia"/>
          <w:sz w:val="18"/>
          <w:szCs w:val="18"/>
        </w:rPr>
        <w:t>事業所の訪問入浴介護従事者は、要介護者等の心身の状況、希望及びその置かれている環境に応じて、その利用者が可能な限り居宅において、その有する能力に応じ自立した日常生活を営むことができるよう、居宅における入浴の援助を行うことによって、利用者の身体の清潔の保持、心身機能の維持等を図る。</w:t>
      </w:r>
    </w:p>
    <w:p>
      <w:pPr>
        <w:wordWrap w:val="0"/>
        <w:spacing w:line="536870550" w:lineRule="auto"/>
        <w:ind w:left="178" w:right="215" w:hanging="178" w:hangingChars="99"/>
        <w:jc w:val="left"/>
        <w:rPr>
          <w:sz w:val="18"/>
          <w:szCs w:val="18"/>
        </w:rPr>
      </w:pPr>
      <w:r>
        <w:rPr>
          <w:rFonts w:hint="eastAsia"/>
          <w:sz w:val="18"/>
          <w:szCs w:val="18"/>
        </w:rPr>
        <w:t>２　事業の実施にあたっては、関係区市町村、地域包括支援センター、地域の保健・医療福祉サービスとの綿密な連携を図り、総合的なサービスの提供に努めるものとする。</w:t>
      </w:r>
    </w:p>
    <w:p>
      <w:pPr>
        <w:wordWrap w:val="0"/>
        <w:spacing w:line="536870550" w:lineRule="auto"/>
        <w:ind w:left="178" w:right="215" w:hanging="178" w:hangingChars="99"/>
        <w:jc w:val="left"/>
        <w:rPr>
          <w:sz w:val="18"/>
          <w:szCs w:val="18"/>
        </w:rPr>
      </w:pPr>
    </w:p>
    <w:p>
      <w:pPr>
        <w:wordWrap w:val="0"/>
        <w:spacing w:line="536870550" w:lineRule="auto"/>
        <w:ind w:right="215"/>
        <w:jc w:val="left"/>
        <w:rPr>
          <w:b/>
          <w:sz w:val="18"/>
          <w:szCs w:val="18"/>
        </w:rPr>
      </w:pPr>
      <w:r>
        <w:rPr>
          <w:rFonts w:hint="eastAsia"/>
          <w:b/>
          <w:sz w:val="18"/>
          <w:szCs w:val="18"/>
        </w:rPr>
        <w:t>（事業所の名称等）</w:t>
      </w:r>
    </w:p>
    <w:p>
      <w:pPr>
        <w:wordWrap w:val="0"/>
        <w:spacing w:line="536870550" w:lineRule="auto"/>
        <w:ind w:right="215"/>
        <w:jc w:val="left"/>
        <w:rPr>
          <w:sz w:val="18"/>
          <w:szCs w:val="18"/>
        </w:rPr>
      </w:pPr>
      <w:r>
        <w:rPr>
          <w:rFonts w:hint="eastAsia"/>
          <w:sz w:val="18"/>
          <w:szCs w:val="18"/>
        </w:rPr>
        <w:t>第３条　事業を行う事業所の名称及び所在地は、次のとおりとする。</w:t>
      </w:r>
    </w:p>
    <w:p>
      <w:pPr>
        <w:pStyle w:val="11"/>
        <w:numPr>
          <w:ilvl w:val="0"/>
          <w:numId w:val="3"/>
        </w:numPr>
        <w:wordWrap w:val="0"/>
        <w:spacing w:line="536870550" w:lineRule="auto"/>
        <w:ind w:leftChars="0" w:right="215"/>
        <w:jc w:val="left"/>
        <w:rPr>
          <w:sz w:val="18"/>
          <w:szCs w:val="18"/>
        </w:rPr>
      </w:pPr>
      <w:r>
        <w:rPr>
          <w:rFonts w:hint="eastAsia"/>
          <w:sz w:val="18"/>
          <w:szCs w:val="18"/>
        </w:rPr>
        <w:t>名　称　訪問入浴　ハイジーア</w:t>
      </w:r>
    </w:p>
    <w:p>
      <w:pPr>
        <w:pStyle w:val="11"/>
        <w:numPr>
          <w:ilvl w:val="0"/>
          <w:numId w:val="3"/>
        </w:numPr>
        <w:wordWrap w:val="0"/>
        <w:spacing w:line="536870550" w:lineRule="auto"/>
        <w:ind w:leftChars="0" w:right="215"/>
        <w:jc w:val="left"/>
        <w:rPr>
          <w:sz w:val="18"/>
          <w:szCs w:val="18"/>
          <w:shd w:val="pct10" w:color="auto" w:fill="FFFFFF"/>
        </w:rPr>
      </w:pPr>
      <w:r>
        <w:rPr>
          <w:rFonts w:hint="eastAsia"/>
          <w:sz w:val="18"/>
          <w:szCs w:val="18"/>
        </w:rPr>
        <w:t>所在地　東京都荒川区西日暮里３－１１－５日の出ハイツ２０１</w:t>
      </w:r>
    </w:p>
    <w:p>
      <w:pPr>
        <w:wordWrap w:val="0"/>
        <w:spacing w:line="536870550" w:lineRule="auto"/>
        <w:ind w:right="215"/>
        <w:jc w:val="left"/>
        <w:rPr>
          <w:b/>
          <w:bCs/>
          <w:sz w:val="18"/>
          <w:szCs w:val="18"/>
        </w:rPr>
      </w:pPr>
    </w:p>
    <w:p>
      <w:pPr>
        <w:wordWrap w:val="0"/>
        <w:spacing w:line="536870550" w:lineRule="auto"/>
        <w:ind w:right="215"/>
        <w:jc w:val="left"/>
        <w:rPr>
          <w:b/>
          <w:sz w:val="18"/>
          <w:szCs w:val="18"/>
        </w:rPr>
      </w:pPr>
      <w:r>
        <w:rPr>
          <w:rFonts w:hint="eastAsia"/>
          <w:b/>
          <w:sz w:val="18"/>
          <w:szCs w:val="18"/>
        </w:rPr>
        <w:t>（職員の職種、員数及び職務内容）</w:t>
      </w:r>
    </w:p>
    <w:p>
      <w:pPr>
        <w:wordWrap w:val="0"/>
        <w:spacing w:line="536870550" w:lineRule="auto"/>
        <w:ind w:right="215"/>
        <w:jc w:val="left"/>
        <w:rPr>
          <w:sz w:val="18"/>
          <w:szCs w:val="18"/>
        </w:rPr>
      </w:pPr>
      <w:r>
        <w:rPr>
          <w:rFonts w:hint="eastAsia"/>
          <w:sz w:val="18"/>
          <w:szCs w:val="18"/>
        </w:rPr>
        <w:t>第４条　事業所に勤務する職種、員数及び職務内容は次のとおりとする。</w:t>
      </w:r>
    </w:p>
    <w:p>
      <w:pPr>
        <w:wordWrap w:val="0"/>
        <w:spacing w:line="536870550" w:lineRule="auto"/>
        <w:ind w:right="215"/>
        <w:jc w:val="left"/>
        <w:rPr>
          <w:sz w:val="18"/>
          <w:szCs w:val="18"/>
        </w:rPr>
      </w:pPr>
      <w:r>
        <w:rPr>
          <w:rFonts w:hint="eastAsia"/>
          <w:sz w:val="18"/>
          <w:szCs w:val="18"/>
        </w:rPr>
        <w:t>　①　管理者　　　１名</w:t>
      </w:r>
    </w:p>
    <w:p>
      <w:pPr>
        <w:wordWrap w:val="0"/>
        <w:spacing w:line="536870550" w:lineRule="auto"/>
        <w:ind w:right="215"/>
        <w:jc w:val="left"/>
        <w:rPr>
          <w:color w:val="FF0000"/>
          <w:sz w:val="18"/>
          <w:szCs w:val="18"/>
        </w:rPr>
      </w:pPr>
      <w:r>
        <w:rPr>
          <w:rFonts w:hint="eastAsia"/>
          <w:sz w:val="18"/>
          <w:szCs w:val="18"/>
        </w:rPr>
        <w:t>　　　管理者は、事業所の従業者の管理及び業務の管理を一元的に行う。</w:t>
      </w:r>
    </w:p>
    <w:p>
      <w:pPr>
        <w:wordWrap w:val="0"/>
        <w:spacing w:line="536870550" w:lineRule="auto"/>
        <w:ind w:right="215"/>
        <w:jc w:val="left"/>
        <w:rPr>
          <w:sz w:val="18"/>
          <w:szCs w:val="18"/>
        </w:rPr>
      </w:pPr>
      <w:r>
        <w:rPr>
          <w:rFonts w:hint="eastAsia"/>
          <w:sz w:val="18"/>
          <w:szCs w:val="18"/>
        </w:rPr>
        <w:t>　②　訪問入浴介護従事者</w:t>
      </w:r>
    </w:p>
    <w:p>
      <w:pPr>
        <w:wordWrap w:val="0"/>
        <w:spacing w:line="536870550" w:lineRule="auto"/>
        <w:ind w:right="215"/>
        <w:jc w:val="left"/>
        <w:rPr>
          <w:sz w:val="18"/>
          <w:szCs w:val="18"/>
        </w:rPr>
      </w:pPr>
      <w:r>
        <mc:AlternateContent>
          <mc:Choice Requires="wps">
            <w:drawing>
              <wp:anchor distT="0" distB="0" distL="114300" distR="114300" simplePos="0" relativeHeight="251659264" behindDoc="0" locked="0" layoutInCell="1" allowOverlap="1">
                <wp:simplePos x="0" y="0"/>
                <wp:positionH relativeFrom="column">
                  <wp:posOffset>2142490</wp:posOffset>
                </wp:positionH>
                <wp:positionV relativeFrom="paragraph">
                  <wp:posOffset>125095</wp:posOffset>
                </wp:positionV>
                <wp:extent cx="2339975" cy="344805"/>
                <wp:effectExtent l="0" t="0" r="0" b="0"/>
                <wp:wrapNone/>
                <wp:docPr id="3" name="テキスト ボックス 2"/>
                <wp:cNvGraphicFramePr/>
                <a:graphic xmlns:a="http://schemas.openxmlformats.org/drawingml/2006/main">
                  <a:graphicData uri="http://schemas.microsoft.com/office/word/2010/wordprocessingShape">
                    <wps:wsp>
                      <wps:cNvSpPr txBox="1">
                        <a:spLocks noChangeArrowheads="1"/>
                      </wps:cNvSpPr>
                      <wps:spPr bwMode="auto">
                        <a:xfrm>
                          <a:off x="0" y="0"/>
                          <a:ext cx="2339975" cy="344805"/>
                        </a:xfrm>
                        <a:prstGeom prst="rect">
                          <a:avLst/>
                        </a:prstGeom>
                        <a:noFill/>
                        <a:ln>
                          <a:noFill/>
                        </a:ln>
                      </wps:spPr>
                      <wps:txbx>
                        <w:txbxContent>
                          <w:p>
                            <w:pPr>
                              <w:rPr>
                                <w:sz w:val="18"/>
                                <w:szCs w:val="18"/>
                              </w:rPr>
                            </w:pPr>
                            <w:r>
                              <w:rPr>
                                <w:rFonts w:hint="eastAsia"/>
                                <w:sz w:val="18"/>
                                <w:szCs w:val="18"/>
                              </w:rPr>
                              <w:t>うち１名以上常勤</w:t>
                            </w:r>
                          </w:p>
                        </w:txbxContent>
                      </wps:txbx>
                      <wps:bodyPr rot="0" vert="horz" wrap="square" lIns="91440" tIns="45720" rIns="91440" bIns="45720" anchor="t" anchorCtr="0" upright="1">
                        <a:noAutofit/>
                      </wps:bodyPr>
                    </wps:wsp>
                  </a:graphicData>
                </a:graphic>
              </wp:anchor>
            </w:drawing>
          </mc:Choice>
          <mc:Fallback>
            <w:pict>
              <v:shape id="テキスト ボックス 2" o:spid="_x0000_s1026" o:spt="202" type="#_x0000_t202" style="position:absolute;left:0pt;margin-left:168.7pt;margin-top:9.85pt;height:27.15pt;width:184.25pt;z-index:251659264;mso-width-relative:page;mso-height-relative:page;" filled="f" stroked="f" coordsize="21600,21600" o:gfxdata="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xEW9YAAAAJAQAADwAAAAAAAAABACAAAAAi&#10;AAAAZHJzL2Rvd25yZXYueG1sUEsBAhQAFAAAAAgAh07iQEU1rSgMAgAA1wMAAA4AAAAAAAAAAQAg&#10;AAAAJQEAAGRycy9lMm9Eb2MueG1sUEsFBgAAAAAGAAYAWQEAAKMFAAAAAA==&#10;">
                <v:fill on="f" focussize="0,0"/>
                <v:stroke on="f"/>
                <v:imagedata o:title=""/>
                <o:lock v:ext="edit" aspectratio="f"/>
                <v:textbox>
                  <w:txbxContent>
                    <w:p>
                      <w:pPr>
                        <w:rPr>
                          <w:sz w:val="18"/>
                          <w:szCs w:val="18"/>
                        </w:rPr>
                      </w:pPr>
                      <w:r>
                        <w:rPr>
                          <w:rFonts w:hint="eastAsia"/>
                          <w:sz w:val="18"/>
                          <w:szCs w:val="18"/>
                        </w:rPr>
                        <w:t>うち１名以上常勤</w:t>
                      </w:r>
                    </w:p>
                  </w:txbxContent>
                </v:textbox>
              </v:shape>
            </w:pict>
          </mc:Fallback>
        </mc:AlternateContent>
      </w:r>
      <w:r>
        <w:rPr>
          <w:rFonts w:hint="eastAsia"/>
          <w:sz w:val="18"/>
          <w:szCs w:val="18"/>
        </w:rPr>
        <mc:AlternateContent>
          <mc:Choice Requires="wps">
            <w:drawing>
              <wp:anchor distT="0" distB="0" distL="114300" distR="114300" simplePos="0" relativeHeight="251658240" behindDoc="0" locked="0" layoutInCell="1" allowOverlap="1">
                <wp:simplePos x="0" y="0"/>
                <wp:positionH relativeFrom="column">
                  <wp:posOffset>1990090</wp:posOffset>
                </wp:positionH>
                <wp:positionV relativeFrom="paragraph">
                  <wp:posOffset>88900</wp:posOffset>
                </wp:positionV>
                <wp:extent cx="104775" cy="381000"/>
                <wp:effectExtent l="0" t="0" r="28575" b="19050"/>
                <wp:wrapNone/>
                <wp:docPr id="2" name="AutoShape 11"/>
                <wp:cNvGraphicFramePr/>
                <a:graphic xmlns:a="http://schemas.openxmlformats.org/drawingml/2006/main">
                  <a:graphicData uri="http://schemas.microsoft.com/office/word/2010/wordprocessingShape">
                    <wps:wsp>
                      <wps:cNvSpPr/>
                      <wps:spPr bwMode="auto">
                        <a:xfrm>
                          <a:off x="0" y="0"/>
                          <a:ext cx="104775" cy="381000"/>
                        </a:xfrm>
                        <a:prstGeom prst="rightBrace">
                          <a:avLst>
                            <a:gd name="adj1" fmla="val 30303"/>
                            <a:gd name="adj2" fmla="val 50000"/>
                          </a:avLst>
                        </a:prstGeom>
                        <a:noFill/>
                        <a:ln w="6350">
                          <a:solidFill>
                            <a:srgbClr val="000000"/>
                          </a:solidFill>
                          <a:round/>
                        </a:ln>
                      </wps:spPr>
                      <wps:bodyPr rot="0" vert="horz" wrap="square" lIns="74295" tIns="8890" rIns="74295" bIns="8890" anchor="t" anchorCtr="0" upright="1">
                        <a:noAutofit/>
                      </wps:bodyPr>
                    </wps:wsp>
                  </a:graphicData>
                </a:graphic>
              </wp:anchor>
            </w:drawing>
          </mc:Choice>
          <mc:Fallback>
            <w:pict>
              <v:shape id="AutoShape 11" o:spid="_x0000_s1026" o:spt="88" type="#_x0000_t88" style="position:absolute;left:0pt;margin-left:156.7pt;margin-top:7pt;height:30pt;width:8.25pt;z-index:251658240;mso-width-relative:page;mso-height-relative:page;" filled="f" stroked="t" coordsize="21600,21600" o:gfxdata="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HmWUh1wAAAAkBAAAPAAAAAAAAAAEAIAAA&#10;ACIAAABkcnMvZG93bnJldi54bWxQSwECFAAUAAAACACHTuJA44Fr6w0CAAATBAAADgAAAAAAAAAB&#10;ACAAAAAmAQAAZHJzL2Uyb0RvYy54bWxQSwUGAAAAAAYABgBZAQAApQUAAAAA&#10;" adj="1799,10800">
                <v:fill on="f" focussize="0,0"/>
                <v:stroke weight="0.5pt" color="#000000" joinstyle="round"/>
                <v:imagedata o:title=""/>
                <o:lock v:ext="edit" aspectratio="f"/>
                <v:textbox inset="2.06375mm,0.7pt,2.06375mm,0.7pt"/>
              </v:shape>
            </w:pict>
          </mc:Fallback>
        </mc:AlternateContent>
      </w:r>
      <w:r>
        <w:rPr>
          <w:rFonts w:hint="eastAsia"/>
          <w:sz w:val="18"/>
          <w:szCs w:val="18"/>
        </w:rPr>
        <w:t>　　　　看護職員　　　１名以上　　　</w:t>
      </w:r>
    </w:p>
    <w:p>
      <w:pPr>
        <w:wordWrap w:val="0"/>
        <w:spacing w:line="536870550" w:lineRule="auto"/>
        <w:ind w:right="215" w:firstLine="720" w:firstLineChars="400"/>
        <w:jc w:val="left"/>
        <w:rPr>
          <w:sz w:val="18"/>
          <w:szCs w:val="18"/>
        </w:rPr>
      </w:pPr>
      <w:r>
        <w:rPr>
          <w:rFonts w:hint="eastAsia"/>
          <w:sz w:val="18"/>
          <w:szCs w:val="18"/>
        </w:rPr>
        <w:t>介護職員</w:t>
      </w:r>
      <w:r>
        <w:rPr>
          <w:rFonts w:hint="eastAsia"/>
          <w:sz w:val="18"/>
          <w:szCs w:val="18"/>
          <w:lang w:eastAsia="zh-TW"/>
        </w:rPr>
        <w:t>　　　</w:t>
      </w:r>
      <w:r>
        <w:rPr>
          <w:rFonts w:hint="eastAsia"/>
          <w:sz w:val="18"/>
          <w:szCs w:val="18"/>
        </w:rPr>
        <w:t>２名以上　</w:t>
      </w:r>
    </w:p>
    <w:p>
      <w:pPr>
        <w:wordWrap w:val="0"/>
        <w:spacing w:line="536870550" w:lineRule="auto"/>
        <w:ind w:right="215"/>
        <w:jc w:val="left"/>
        <w:rPr>
          <w:sz w:val="18"/>
          <w:szCs w:val="18"/>
        </w:rPr>
      </w:pPr>
      <w:r>
        <w:rPr>
          <w:rFonts w:hint="eastAsia"/>
          <w:sz w:val="18"/>
          <w:szCs w:val="18"/>
          <w:lang w:eastAsia="zh-TW"/>
        </w:rPr>
        <w:t>　　　</w:t>
      </w:r>
      <w:r>
        <w:rPr>
          <w:rFonts w:hint="eastAsia"/>
          <w:sz w:val="18"/>
          <w:szCs w:val="18"/>
        </w:rPr>
        <w:t>訪問入浴介護従事者は、指定訪問入浴介護等の提供にあたる。</w:t>
      </w:r>
    </w:p>
    <w:p>
      <w:pPr>
        <w:wordWrap w:val="0"/>
        <w:spacing w:line="536870550" w:lineRule="auto"/>
        <w:ind w:right="215"/>
        <w:jc w:val="left"/>
        <w:rPr>
          <w:sz w:val="18"/>
          <w:szCs w:val="18"/>
        </w:rPr>
      </w:pPr>
    </w:p>
    <w:p>
      <w:pPr>
        <w:wordWrap w:val="0"/>
        <w:spacing w:line="536870550" w:lineRule="auto"/>
        <w:ind w:right="215"/>
        <w:jc w:val="left"/>
        <w:rPr>
          <w:b/>
          <w:sz w:val="18"/>
          <w:szCs w:val="18"/>
        </w:rPr>
      </w:pPr>
      <w:r>
        <w:rPr>
          <w:rFonts w:hint="eastAsia"/>
          <w:b/>
          <w:sz w:val="18"/>
          <w:szCs w:val="18"/>
        </w:rPr>
        <w:t>（営業日及び営業時間）</w:t>
      </w:r>
    </w:p>
    <w:p>
      <w:pPr>
        <w:wordWrap w:val="0"/>
        <w:spacing w:line="536870550" w:lineRule="auto"/>
        <w:ind w:right="215"/>
        <w:jc w:val="left"/>
        <w:rPr>
          <w:sz w:val="18"/>
          <w:szCs w:val="18"/>
        </w:rPr>
      </w:pPr>
      <w:r>
        <w:rPr>
          <w:rFonts w:hint="eastAsia"/>
          <w:sz w:val="18"/>
          <w:szCs w:val="18"/>
        </w:rPr>
        <w:t>第５条　事業所の営業日及び営業時間は、次のとおりとする。</w:t>
      </w:r>
    </w:p>
    <w:p>
      <w:pPr>
        <w:pStyle w:val="11"/>
        <w:numPr>
          <w:ilvl w:val="0"/>
          <w:numId w:val="4"/>
        </w:numPr>
        <w:wordWrap w:val="0"/>
        <w:spacing w:line="536870550" w:lineRule="auto"/>
        <w:ind w:leftChars="0" w:right="215"/>
        <w:jc w:val="left"/>
        <w:rPr>
          <w:sz w:val="18"/>
          <w:szCs w:val="18"/>
        </w:rPr>
      </w:pPr>
      <w:r>
        <w:rPr>
          <w:rFonts w:hint="eastAsia"/>
          <w:sz w:val="18"/>
          <w:szCs w:val="18"/>
        </w:rPr>
        <w:t>営業日　月曜日から日曜日　ただし、１月１日を除く。</w:t>
      </w:r>
    </w:p>
    <w:p>
      <w:pPr>
        <w:pStyle w:val="11"/>
        <w:numPr>
          <w:ilvl w:val="0"/>
          <w:numId w:val="4"/>
        </w:numPr>
        <w:wordWrap w:val="0"/>
        <w:spacing w:line="536870550" w:lineRule="auto"/>
        <w:ind w:leftChars="0" w:right="215"/>
        <w:jc w:val="left"/>
        <w:rPr>
          <w:sz w:val="18"/>
          <w:szCs w:val="18"/>
        </w:rPr>
      </w:pPr>
      <w:r>
        <w:rPr>
          <w:rFonts w:hint="eastAsia"/>
          <w:sz w:val="18"/>
          <w:szCs w:val="18"/>
        </w:rPr>
        <w:t>営業時間　午前９時から午後６時までとする。</w:t>
      </w:r>
    </w:p>
    <w:p>
      <w:pPr>
        <w:wordWrap w:val="0"/>
        <w:spacing w:line="536870550" w:lineRule="auto"/>
        <w:ind w:left="360" w:right="215" w:hanging="360" w:hangingChars="200"/>
        <w:jc w:val="left"/>
        <w:rPr>
          <w:sz w:val="18"/>
          <w:szCs w:val="18"/>
        </w:rPr>
      </w:pPr>
      <w:r>
        <w:rPr>
          <w:rFonts w:hint="eastAsia"/>
          <w:sz w:val="18"/>
          <w:szCs w:val="18"/>
        </w:rPr>
        <w:t>　③　電話等により、２４時間常時連絡が可能な体制とする。</w:t>
      </w:r>
    </w:p>
    <w:p>
      <w:pPr>
        <w:wordWrap w:val="0"/>
        <w:spacing w:line="536870550" w:lineRule="auto"/>
        <w:ind w:left="360" w:right="215" w:hanging="360" w:hangingChars="200"/>
        <w:jc w:val="left"/>
        <w:rPr>
          <w:i/>
          <w:sz w:val="18"/>
          <w:szCs w:val="18"/>
        </w:rPr>
      </w:pPr>
    </w:p>
    <w:p>
      <w:pPr>
        <w:wordWrap w:val="0"/>
        <w:spacing w:line="536870550" w:lineRule="auto"/>
        <w:ind w:right="215"/>
        <w:jc w:val="left"/>
        <w:rPr>
          <w:b/>
          <w:sz w:val="18"/>
          <w:szCs w:val="18"/>
        </w:rPr>
      </w:pPr>
      <w:r>
        <w:rPr>
          <w:rFonts w:hint="eastAsia"/>
          <w:b/>
          <w:sz w:val="18"/>
          <w:szCs w:val="18"/>
        </w:rPr>
        <w:t>（指定訪問入浴介護等の提供方法、内容及び利用料等）</w:t>
      </w:r>
    </w:p>
    <w:p>
      <w:pPr>
        <w:wordWrap w:val="0"/>
        <w:spacing w:line="536870550" w:lineRule="auto"/>
        <w:ind w:left="534" w:right="224" w:rightChars="107" w:hanging="534" w:hangingChars="297"/>
        <w:jc w:val="left"/>
        <w:rPr>
          <w:sz w:val="18"/>
          <w:szCs w:val="18"/>
        </w:rPr>
      </w:pPr>
      <w:r>
        <w:rPr>
          <w:rFonts w:hint="eastAsia"/>
          <w:sz w:val="18"/>
          <w:szCs w:val="18"/>
        </w:rPr>
        <w:t>第６条　指定訪問入浴介護等の提供方法及び内容は次のとおりとし、指定訪問入浴介護等を提供した場合の利用料の額は、別紙料金表によるものとし、当該指定訪問入浴介護等が法定代理受領サービスである時は、その１割、２割又は３割の額とする。</w:t>
      </w:r>
    </w:p>
    <w:p>
      <w:pPr>
        <w:wordWrap w:val="0"/>
        <w:spacing w:line="536870550" w:lineRule="auto"/>
        <w:ind w:left="358" w:right="215" w:hanging="358" w:hangingChars="199"/>
        <w:jc w:val="left"/>
        <w:rPr>
          <w:sz w:val="18"/>
          <w:szCs w:val="18"/>
        </w:rPr>
      </w:pPr>
      <w:r>
        <w:rPr>
          <w:rFonts w:hint="eastAsia"/>
          <w:sz w:val="18"/>
          <w:szCs w:val="18"/>
        </w:rPr>
        <w:t>　二　指定訪問入浴介護等の提供にあたっては、介護技術の進歩に対応し、適切な技術をもって懇切丁寧に行うことを旨とし、１回の訪問につき、指定訪問入浴介護は看護職員１名及び介護職員２名、指定介護予防訪問入浴介護は看護職員１名及び介護職員１名をもって行い、これらの者のうち１名をサービス提供の責任者とする。なお、利用者の身体の状況が安定しており、入浴により利用者の身体的状況に支障を生ずるおそれがないと認められる場合、主治医の意見を確認した上で、看護職員に代えて介護職員を派遣することがある。</w:t>
      </w:r>
    </w:p>
    <w:p>
      <w:pPr>
        <w:wordWrap w:val="0"/>
        <w:spacing w:line="536870550" w:lineRule="auto"/>
        <w:ind w:left="388" w:leftChars="100" w:right="215" w:hanging="178" w:hangingChars="99"/>
        <w:jc w:val="left"/>
        <w:rPr>
          <w:sz w:val="18"/>
          <w:szCs w:val="18"/>
        </w:rPr>
      </w:pPr>
      <w:r>
        <w:rPr>
          <w:rFonts w:hint="eastAsia"/>
          <w:sz w:val="18"/>
          <w:szCs w:val="18"/>
        </w:rPr>
        <w:t>三　サービスの提供に用いる設備、器具その他の用品の使用に際し、安全及び清潔の保持に留意し、利用者の身体に直接触れる設備、器具その他の用品については、サービスの提供ごとに消毒したものを使用する。</w:t>
      </w:r>
    </w:p>
    <w:p>
      <w:pPr>
        <w:wordWrap w:val="0"/>
        <w:spacing w:line="536870550" w:lineRule="auto"/>
        <w:ind w:left="282" w:right="215" w:hanging="282" w:hangingChars="157"/>
        <w:jc w:val="left"/>
        <w:rPr>
          <w:sz w:val="18"/>
          <w:szCs w:val="18"/>
        </w:rPr>
      </w:pPr>
      <w:r>
        <w:rPr>
          <w:rFonts w:hint="eastAsia"/>
          <w:sz w:val="18"/>
          <w:szCs w:val="18"/>
        </w:rPr>
        <w:t>２　次条の通常の事業の実施地域を越えて行う指定訪問入浴介護等に要した交通費は、その実額を徴収する。なお、自動車を使用した場合の交通費は、次の額を徴収する。</w:t>
      </w:r>
    </w:p>
    <w:p>
      <w:pPr>
        <w:wordWrap w:val="0"/>
        <w:spacing w:line="536870550" w:lineRule="auto"/>
        <w:ind w:left="358" w:right="215" w:hanging="358" w:hangingChars="199"/>
        <w:jc w:val="left"/>
        <w:rPr>
          <w:sz w:val="18"/>
          <w:szCs w:val="18"/>
        </w:rPr>
      </w:pPr>
      <w:r>
        <w:rPr>
          <w:rFonts w:hint="eastAsia"/>
          <w:sz w:val="18"/>
          <w:szCs w:val="18"/>
        </w:rPr>
        <w:t>　一　通常の実施地域を越えて１kmにつき　　１０円</w:t>
      </w:r>
    </w:p>
    <w:p>
      <w:pPr>
        <w:wordWrap w:val="0"/>
        <w:spacing w:line="536870550" w:lineRule="auto"/>
        <w:ind w:left="282" w:right="215" w:hanging="282" w:hangingChars="157"/>
        <w:jc w:val="left"/>
        <w:rPr>
          <w:sz w:val="18"/>
          <w:szCs w:val="18"/>
        </w:rPr>
      </w:pPr>
      <w:r>
        <w:rPr>
          <w:rFonts w:hint="eastAsia"/>
          <w:sz w:val="18"/>
          <w:szCs w:val="18"/>
        </w:rPr>
        <w:t>３　前項の費用の支払いを受ける場合には、利用者またはその家族に対して事前に文書で説明をした上で、支払いに同意する旨の文書に署名（記名捺印）を受けることとする。</w:t>
      </w:r>
    </w:p>
    <w:p>
      <w:pPr>
        <w:wordWrap w:val="0"/>
        <w:spacing w:line="536870550" w:lineRule="auto"/>
        <w:ind w:left="282" w:right="215" w:hanging="282" w:hangingChars="157"/>
        <w:jc w:val="left"/>
        <w:rPr>
          <w:sz w:val="18"/>
          <w:szCs w:val="18"/>
        </w:rPr>
      </w:pPr>
    </w:p>
    <w:p>
      <w:pPr>
        <w:wordWrap w:val="0"/>
        <w:spacing w:line="536870550" w:lineRule="auto"/>
        <w:ind w:right="215"/>
        <w:jc w:val="left"/>
        <w:rPr>
          <w:b/>
          <w:sz w:val="18"/>
          <w:szCs w:val="18"/>
        </w:rPr>
      </w:pPr>
      <w:r>
        <w:rPr>
          <w:rFonts w:hint="eastAsia"/>
          <w:b/>
          <w:sz w:val="18"/>
          <w:szCs w:val="18"/>
        </w:rPr>
        <w:t>（通常の事業の実施地域）</w:t>
      </w:r>
    </w:p>
    <w:p>
      <w:pPr>
        <w:wordWrap w:val="0"/>
        <w:spacing w:line="536870550" w:lineRule="auto"/>
        <w:ind w:right="215"/>
        <w:jc w:val="left"/>
        <w:rPr>
          <w:i/>
          <w:sz w:val="18"/>
          <w:szCs w:val="18"/>
          <w:shd w:val="pct10" w:color="auto" w:fill="FFFFFF"/>
        </w:rPr>
      </w:pPr>
      <w:r>
        <w:rPr>
          <w:rFonts w:hint="eastAsia"/>
          <w:sz w:val="18"/>
          <w:szCs w:val="18"/>
        </w:rPr>
        <w:t>第７条　通常の事業の実施地域は、荒川区、北区、足立区、葛飾区、台東区、墨田区、文京区、千代田区、豊島区の区域とする。　</w:t>
      </w:r>
    </w:p>
    <w:p>
      <w:pPr>
        <w:wordWrap w:val="0"/>
        <w:spacing w:line="536870550" w:lineRule="auto"/>
        <w:ind w:right="215"/>
        <w:jc w:val="left"/>
        <w:rPr>
          <w:sz w:val="18"/>
          <w:szCs w:val="18"/>
        </w:rPr>
      </w:pPr>
    </w:p>
    <w:p>
      <w:pPr>
        <w:wordWrap w:val="0"/>
        <w:spacing w:line="536870550" w:lineRule="auto"/>
        <w:ind w:right="215"/>
        <w:jc w:val="left"/>
        <w:rPr>
          <w:b/>
          <w:sz w:val="18"/>
          <w:szCs w:val="18"/>
        </w:rPr>
      </w:pPr>
      <w:r>
        <w:rPr>
          <w:rFonts w:hint="eastAsia"/>
          <w:b/>
          <w:sz w:val="18"/>
          <w:szCs w:val="18"/>
        </w:rPr>
        <w:t>（サービスの利用にあたっての留意事項）</w:t>
      </w:r>
    </w:p>
    <w:p>
      <w:pPr>
        <w:wordWrap w:val="0"/>
        <w:spacing w:line="536870550" w:lineRule="auto"/>
        <w:ind w:left="534" w:right="215" w:hanging="534" w:hangingChars="297"/>
        <w:jc w:val="left"/>
        <w:rPr>
          <w:sz w:val="18"/>
          <w:szCs w:val="18"/>
        </w:rPr>
      </w:pPr>
      <w:r>
        <w:rPr>
          <w:rFonts w:hint="eastAsia"/>
          <w:sz w:val="18"/>
          <w:szCs w:val="18"/>
        </w:rPr>
        <w:t>第８条　利用者は、指定訪問入浴介護等の提供を受ける際には、指定訪問入浴介護等従業者の指示に従わなければならない。</w:t>
      </w:r>
    </w:p>
    <w:p>
      <w:pPr>
        <w:wordWrap w:val="0"/>
        <w:spacing w:line="536870550" w:lineRule="auto"/>
        <w:ind w:left="534" w:right="215" w:hanging="534" w:hangingChars="297"/>
        <w:jc w:val="left"/>
        <w:rPr>
          <w:sz w:val="18"/>
          <w:szCs w:val="18"/>
        </w:rPr>
      </w:pPr>
      <w:bookmarkStart w:id="0" w:name="_GoBack"/>
      <w:bookmarkEnd w:id="0"/>
    </w:p>
    <w:p>
      <w:pPr>
        <w:wordWrap w:val="0"/>
        <w:spacing w:line="536870550" w:lineRule="auto"/>
        <w:ind w:left="179" w:right="215" w:hanging="178" w:hangingChars="99"/>
        <w:jc w:val="left"/>
        <w:rPr>
          <w:b/>
          <w:sz w:val="18"/>
          <w:szCs w:val="18"/>
        </w:rPr>
      </w:pPr>
      <w:r>
        <w:rPr>
          <w:rFonts w:hint="eastAsia"/>
          <w:b/>
          <w:sz w:val="18"/>
          <w:szCs w:val="18"/>
        </w:rPr>
        <w:t>（相談・苦情対応）</w:t>
      </w:r>
    </w:p>
    <w:p>
      <w:pPr>
        <w:ind w:left="535" w:leftChars="6" w:right="224" w:rightChars="107" w:hanging="523" w:hangingChars="291"/>
        <w:rPr>
          <w:sz w:val="18"/>
          <w:szCs w:val="18"/>
        </w:rPr>
      </w:pPr>
      <w:r>
        <w:rPr>
          <w:rFonts w:hint="eastAsia"/>
          <w:sz w:val="18"/>
          <w:szCs w:val="18"/>
        </w:rPr>
        <w:t>第９条　当事業所は、利用者からの相談、苦情等に対する窓口を設置し、指定居宅サービス等に関する利用者の要望、苦情等に対し、迅速に対応する。</w:t>
      </w:r>
    </w:p>
    <w:p>
      <w:pPr>
        <w:ind w:left="1108" w:leftChars="100" w:hanging="898" w:hangingChars="499"/>
        <w:rPr>
          <w:sz w:val="18"/>
          <w:szCs w:val="18"/>
        </w:rPr>
      </w:pPr>
      <w:r>
        <w:rPr>
          <w:rFonts w:hint="eastAsia"/>
          <w:sz w:val="18"/>
          <w:szCs w:val="18"/>
        </w:rPr>
        <w:t>２　当該事業所は、前項の苦情の内容等について記録し、当該利用者の契約終了の日から２年間保存する。</w:t>
      </w:r>
    </w:p>
    <w:p>
      <w:pPr>
        <w:ind w:left="1108" w:leftChars="100" w:hanging="898" w:hangingChars="499"/>
        <w:rPr>
          <w:sz w:val="18"/>
          <w:szCs w:val="18"/>
        </w:rPr>
      </w:pPr>
    </w:p>
    <w:p>
      <w:pPr>
        <w:rPr>
          <w:b/>
          <w:sz w:val="18"/>
          <w:szCs w:val="18"/>
        </w:rPr>
      </w:pPr>
      <w:r>
        <w:rPr>
          <w:rFonts w:hint="eastAsia"/>
          <w:b/>
          <w:sz w:val="18"/>
          <w:szCs w:val="18"/>
        </w:rPr>
        <w:t>（事故処理）</w:t>
      </w:r>
    </w:p>
    <w:p>
      <w:pPr>
        <w:ind w:left="714" w:leftChars="1" w:right="224" w:rightChars="107" w:hanging="712" w:hangingChars="396"/>
        <w:rPr>
          <w:sz w:val="18"/>
          <w:szCs w:val="18"/>
        </w:rPr>
      </w:pPr>
      <w:r>
        <w:rPr>
          <w:rFonts w:hint="eastAsia"/>
          <w:sz w:val="18"/>
          <w:szCs w:val="18"/>
        </w:rPr>
        <w:t>第１０条　当事業所は、サービス提供に際し、利用者に事故が発生した場合には、速やかに区市町村、介護支援専門員、利用者の家族等に連絡を行うとともに、必要な措置を講じる。</w:t>
      </w:r>
    </w:p>
    <w:p>
      <w:pPr>
        <w:ind w:left="408" w:leftChars="109" w:hanging="180" w:hangingChars="100"/>
        <w:rPr>
          <w:sz w:val="18"/>
          <w:szCs w:val="18"/>
        </w:rPr>
      </w:pPr>
      <w:r>
        <w:rPr>
          <w:rFonts w:hint="eastAsia"/>
          <w:sz w:val="18"/>
          <w:szCs w:val="18"/>
        </w:rPr>
        <w:t>２　当事業所は、前項の事故の状況及び事故に際して採った処置について記録し、当該利用者の契約終了の日から２年間保存する。</w:t>
      </w:r>
    </w:p>
    <w:p>
      <w:pPr>
        <w:ind w:firstLine="180" w:firstLineChars="100"/>
        <w:rPr>
          <w:sz w:val="18"/>
          <w:szCs w:val="18"/>
        </w:rPr>
      </w:pPr>
      <w:r>
        <w:rPr>
          <w:rFonts w:hint="eastAsia"/>
          <w:sz w:val="18"/>
          <w:szCs w:val="18"/>
        </w:rPr>
        <w:t xml:space="preserve"> ３　当事業所は、利用者に賠償すべき事故が発生した場合には、損害賠償を速やかに行う。</w:t>
      </w:r>
    </w:p>
    <w:p>
      <w:pPr>
        <w:ind w:firstLine="180" w:firstLineChars="100"/>
        <w:rPr>
          <w:sz w:val="18"/>
          <w:szCs w:val="18"/>
        </w:rPr>
      </w:pPr>
    </w:p>
    <w:p>
      <w:pPr>
        <w:wordWrap w:val="0"/>
        <w:spacing w:line="536870550" w:lineRule="auto"/>
        <w:ind w:right="215"/>
        <w:jc w:val="left"/>
        <w:rPr>
          <w:b/>
          <w:sz w:val="18"/>
          <w:szCs w:val="18"/>
        </w:rPr>
      </w:pPr>
      <w:r>
        <w:rPr>
          <w:rFonts w:hint="eastAsia"/>
          <w:b/>
          <w:sz w:val="18"/>
          <w:szCs w:val="18"/>
        </w:rPr>
        <w:t>（緊急時等における対応方法）</w:t>
      </w:r>
    </w:p>
    <w:p>
      <w:pPr>
        <w:wordWrap w:val="0"/>
        <w:spacing w:line="536870550" w:lineRule="auto"/>
        <w:ind w:left="719" w:right="215" w:hanging="720" w:hangingChars="400"/>
        <w:jc w:val="left"/>
        <w:rPr>
          <w:sz w:val="18"/>
          <w:szCs w:val="18"/>
        </w:rPr>
      </w:pPr>
      <w:r>
        <w:rPr>
          <w:rFonts w:hint="eastAsia"/>
          <w:sz w:val="18"/>
          <w:szCs w:val="18"/>
        </w:rPr>
        <w:t>第１１条　訪問入浴介護従事者は、訪問入浴介護のサービス提供中に、利用者の病状に急変が生じた場合その他必要な場合は、速やかに主治医への連絡を行う等の必要な措置を講じる。</w:t>
      </w:r>
    </w:p>
    <w:p>
      <w:pPr>
        <w:wordWrap w:val="0"/>
        <w:spacing w:line="536870550" w:lineRule="auto"/>
        <w:ind w:left="360" w:right="215" w:hanging="360" w:hangingChars="200"/>
        <w:jc w:val="left"/>
        <w:rPr>
          <w:sz w:val="18"/>
          <w:szCs w:val="18"/>
        </w:rPr>
      </w:pPr>
      <w:r>
        <w:rPr>
          <w:rFonts w:hint="eastAsia"/>
          <w:sz w:val="18"/>
          <w:szCs w:val="18"/>
        </w:rPr>
        <w:t>　２　前項について、しかるべき対応をした場合には、速やかに管理者に報告しなければならない。</w:t>
      </w:r>
    </w:p>
    <w:p>
      <w:pPr>
        <w:wordWrap w:val="0"/>
        <w:spacing w:line="536870550" w:lineRule="auto"/>
        <w:ind w:left="360" w:right="215" w:hanging="360" w:hangingChars="200"/>
        <w:jc w:val="left"/>
        <w:rPr>
          <w:sz w:val="18"/>
          <w:szCs w:val="18"/>
        </w:rPr>
      </w:pPr>
    </w:p>
    <w:p>
      <w:pPr>
        <w:rPr>
          <w:rFonts w:ascii="ＭＳ 明朝" w:hAnsi="ＭＳ 明朝"/>
          <w:b/>
          <w:sz w:val="18"/>
          <w:szCs w:val="18"/>
        </w:rPr>
      </w:pPr>
      <w:r>
        <w:rPr>
          <w:rFonts w:hint="eastAsia" w:ascii="ＭＳ 明朝" w:hAnsi="ＭＳ 明朝"/>
          <w:b/>
          <w:sz w:val="18"/>
          <w:szCs w:val="18"/>
        </w:rPr>
        <w:t>（</w:t>
      </w:r>
      <w:r>
        <w:rPr>
          <w:rFonts w:hint="eastAsia" w:ascii="ＭＳ 明朝" w:hAnsi="ＭＳ 明朝" w:cs="游ゴシックRegular"/>
          <w:b/>
          <w:kern w:val="0"/>
          <w:sz w:val="18"/>
          <w:szCs w:val="18"/>
        </w:rPr>
        <w:t>虐待の防止のための措置に関する事項</w:t>
      </w:r>
      <w:r>
        <w:rPr>
          <w:rFonts w:hint="eastAsia" w:ascii="ＭＳ 明朝" w:hAnsi="ＭＳ 明朝"/>
          <w:b/>
          <w:sz w:val="18"/>
          <w:szCs w:val="18"/>
        </w:rPr>
        <w:t>）</w:t>
      </w:r>
    </w:p>
    <w:p>
      <w:pPr>
        <w:autoSpaceDE w:val="0"/>
        <w:autoSpaceDN w:val="0"/>
        <w:adjustRightInd w:val="0"/>
        <w:ind w:left="1079" w:hanging="1080" w:hangingChars="600"/>
        <w:jc w:val="left"/>
        <w:rPr>
          <w:rFonts w:ascii="ＭＳ 明朝" w:hAnsi="ＭＳ 明朝" w:cs="游ゴシックRegular"/>
          <w:kern w:val="0"/>
          <w:sz w:val="18"/>
          <w:szCs w:val="18"/>
        </w:rPr>
      </w:pPr>
      <w:r>
        <w:rPr>
          <w:rFonts w:hint="eastAsia"/>
          <w:sz w:val="18"/>
          <w:szCs w:val="18"/>
        </w:rPr>
        <w:t>第１２条　事業所は、</w:t>
      </w:r>
      <w:r>
        <w:rPr>
          <w:rFonts w:hint="eastAsia" w:ascii="ＭＳ 明朝" w:hAnsi="ＭＳ 明朝" w:cs="游ゴシックRegular"/>
          <w:kern w:val="0"/>
          <w:sz w:val="18"/>
          <w:szCs w:val="18"/>
        </w:rPr>
        <w:t>虐待の発生又はその再発を防止するため、以下の措置を講じる。</w:t>
      </w:r>
    </w:p>
    <w:p>
      <w:pPr>
        <w:pStyle w:val="11"/>
        <w:numPr>
          <w:ilvl w:val="0"/>
          <w:numId w:val="5"/>
        </w:numPr>
        <w:autoSpaceDE w:val="0"/>
        <w:autoSpaceDN w:val="0"/>
        <w:adjustRightInd w:val="0"/>
        <w:ind w:leftChars="0"/>
        <w:jc w:val="left"/>
        <w:rPr>
          <w:rFonts w:ascii="ＭＳ 明朝" w:hAnsi="ＭＳ 明朝" w:cs="游ゴシックRegular"/>
          <w:kern w:val="0"/>
          <w:sz w:val="18"/>
          <w:szCs w:val="18"/>
        </w:rPr>
      </w:pPr>
      <w:r>
        <w:rPr>
          <w:rFonts w:hint="eastAsia" w:ascii="ＭＳ 明朝" w:hAnsi="ＭＳ 明朝" w:cs="游ゴシックRegular"/>
          <w:kern w:val="0"/>
          <w:sz w:val="18"/>
          <w:szCs w:val="18"/>
        </w:rPr>
        <w:t>　虐待の防止のための対策を検討する委員会（テレビ電話装置等の活用可能）を定期的に開催するとともに、その結果について、従業者に十分に周知する。</w:t>
      </w:r>
    </w:p>
    <w:p>
      <w:pPr>
        <w:pStyle w:val="11"/>
        <w:numPr>
          <w:ilvl w:val="0"/>
          <w:numId w:val="5"/>
        </w:numPr>
        <w:autoSpaceDE w:val="0"/>
        <w:autoSpaceDN w:val="0"/>
        <w:adjustRightInd w:val="0"/>
        <w:ind w:leftChars="0"/>
        <w:jc w:val="left"/>
        <w:rPr>
          <w:rFonts w:ascii="ＭＳ 明朝" w:hAnsi="ＭＳ 明朝" w:cs="游ゴシックRegular"/>
          <w:kern w:val="0"/>
          <w:sz w:val="18"/>
          <w:szCs w:val="18"/>
        </w:rPr>
      </w:pPr>
      <w:r>
        <w:rPr>
          <w:rFonts w:hint="eastAsia" w:ascii="ＭＳ 明朝" w:hAnsi="ＭＳ 明朝"/>
          <w:sz w:val="18"/>
          <w:szCs w:val="18"/>
        </w:rPr>
        <w:t>　</w:t>
      </w:r>
      <w:r>
        <w:rPr>
          <w:rFonts w:hint="eastAsia" w:ascii="ＭＳ 明朝" w:hAnsi="ＭＳ 明朝" w:cs="游ゴシックRegular"/>
          <w:kern w:val="0"/>
          <w:sz w:val="18"/>
          <w:szCs w:val="18"/>
        </w:rPr>
        <w:t>虐待の防止のための指針を整備する。</w:t>
      </w:r>
    </w:p>
    <w:p>
      <w:pPr>
        <w:pStyle w:val="11"/>
        <w:numPr>
          <w:ilvl w:val="0"/>
          <w:numId w:val="5"/>
        </w:numPr>
        <w:autoSpaceDE w:val="0"/>
        <w:autoSpaceDN w:val="0"/>
        <w:adjustRightInd w:val="0"/>
        <w:ind w:leftChars="0"/>
        <w:jc w:val="left"/>
        <w:rPr>
          <w:rFonts w:ascii="ＭＳ 明朝" w:hAnsi="ＭＳ 明朝"/>
          <w:sz w:val="18"/>
          <w:szCs w:val="18"/>
        </w:rPr>
      </w:pPr>
      <w:r>
        <w:rPr>
          <w:rFonts w:hint="eastAsia" w:ascii="ＭＳ 明朝" w:hAnsi="ＭＳ 明朝" w:cs="游ゴシックRegular"/>
          <w:kern w:val="0"/>
          <w:sz w:val="18"/>
          <w:szCs w:val="18"/>
        </w:rPr>
        <w:t>　従業者に対し、虐待の防止のための研修を定期的に実施する。</w:t>
      </w:r>
    </w:p>
    <w:p>
      <w:pPr>
        <w:pStyle w:val="11"/>
        <w:numPr>
          <w:ilvl w:val="0"/>
          <w:numId w:val="5"/>
        </w:numPr>
        <w:autoSpaceDE w:val="0"/>
        <w:autoSpaceDN w:val="0"/>
        <w:adjustRightInd w:val="0"/>
        <w:ind w:leftChars="0"/>
        <w:jc w:val="left"/>
        <w:rPr>
          <w:rFonts w:ascii="ＭＳ 明朝" w:hAnsi="ＭＳ 明朝"/>
          <w:sz w:val="18"/>
          <w:szCs w:val="18"/>
        </w:rPr>
      </w:pPr>
      <w:r>
        <w:rPr>
          <w:rFonts w:hint="eastAsia" w:ascii="ＭＳ 明朝" w:hAnsi="ＭＳ 明朝"/>
          <w:sz w:val="18"/>
          <w:szCs w:val="18"/>
        </w:rPr>
        <w:t>　</w:t>
      </w:r>
      <w:r>
        <w:rPr>
          <w:rFonts w:hint="eastAsia" w:ascii="ＭＳ 明朝" w:hAnsi="ＭＳ 明朝" w:cs="游ゴシックRegular"/>
          <w:kern w:val="0"/>
          <w:sz w:val="18"/>
          <w:szCs w:val="18"/>
        </w:rPr>
        <w:t>前三号に掲げる措置を適切に実施するための担当者を置く。</w:t>
      </w:r>
    </w:p>
    <w:p>
      <w:pPr>
        <w:rPr>
          <w:rFonts w:ascii="ＭＳ 明朝" w:hAnsi="ＭＳ 明朝" w:cs="游ゴシックRegular"/>
          <w:kern w:val="0"/>
          <w:sz w:val="18"/>
          <w:szCs w:val="18"/>
        </w:rPr>
      </w:pPr>
      <w:r>
        <w:rPr>
          <w:rFonts w:hint="eastAsia" w:ascii="ＭＳ 明朝" w:hAnsi="ＭＳ 明朝" w:cs="游ゴシックRegular"/>
          <w:kern w:val="0"/>
          <w:sz w:val="18"/>
          <w:szCs w:val="18"/>
        </w:rPr>
        <w:t>２　前項第一号に規定する委員会は、テレビ電話装置等を活用して行うことができるものとする。</w:t>
      </w:r>
    </w:p>
    <w:p>
      <w:pPr>
        <w:rPr>
          <w:sz w:val="18"/>
          <w:szCs w:val="18"/>
        </w:rPr>
      </w:pPr>
    </w:p>
    <w:p>
      <w:pPr>
        <w:wordWrap w:val="0"/>
        <w:spacing w:line="536870550" w:lineRule="auto"/>
        <w:ind w:right="215"/>
        <w:jc w:val="left"/>
        <w:rPr>
          <w:b/>
          <w:sz w:val="18"/>
          <w:szCs w:val="18"/>
        </w:rPr>
      </w:pPr>
      <w:r>
        <w:rPr>
          <w:rFonts w:hint="eastAsia"/>
          <w:b/>
          <w:sz w:val="18"/>
          <w:szCs w:val="18"/>
        </w:rPr>
        <w:t>（その他運営についての留意事項）</w:t>
      </w:r>
    </w:p>
    <w:p>
      <w:pPr>
        <w:wordWrap w:val="0"/>
        <w:spacing w:line="536870550" w:lineRule="auto"/>
        <w:ind w:left="712" w:right="215" w:hanging="712" w:hangingChars="396"/>
        <w:jc w:val="left"/>
        <w:rPr>
          <w:sz w:val="18"/>
          <w:szCs w:val="18"/>
        </w:rPr>
      </w:pPr>
      <w:r>
        <w:rPr>
          <w:rFonts w:hint="eastAsia"/>
          <w:sz w:val="18"/>
          <w:szCs w:val="18"/>
        </w:rPr>
        <w:t>第１３条　指定訪問入浴介護事業所は、訪問入浴介護従事者の資質向上を図るため、研修の機会を次のとおり設けるものとし、また、業務体制を整備する。</w:t>
      </w:r>
    </w:p>
    <w:p>
      <w:pPr>
        <w:pStyle w:val="11"/>
        <w:numPr>
          <w:ilvl w:val="0"/>
          <w:numId w:val="6"/>
        </w:numPr>
        <w:wordWrap w:val="0"/>
        <w:spacing w:line="536870550" w:lineRule="auto"/>
        <w:ind w:leftChars="0" w:right="215"/>
        <w:jc w:val="left"/>
        <w:rPr>
          <w:sz w:val="18"/>
          <w:szCs w:val="18"/>
        </w:rPr>
      </w:pPr>
      <w:r>
        <w:rPr>
          <w:rFonts w:hint="eastAsia"/>
          <w:sz w:val="18"/>
          <w:szCs w:val="18"/>
        </w:rPr>
        <w:t>　採用時研修　採用後３カ月以内</w:t>
      </w:r>
    </w:p>
    <w:p>
      <w:pPr>
        <w:pStyle w:val="11"/>
        <w:numPr>
          <w:ilvl w:val="0"/>
          <w:numId w:val="6"/>
        </w:numPr>
        <w:wordWrap w:val="0"/>
        <w:spacing w:line="536870550" w:lineRule="auto"/>
        <w:ind w:leftChars="0" w:right="215"/>
        <w:jc w:val="left"/>
        <w:rPr>
          <w:sz w:val="18"/>
          <w:szCs w:val="18"/>
        </w:rPr>
      </w:pPr>
      <w:r>
        <w:rPr>
          <w:rFonts w:hint="eastAsia"/>
          <w:sz w:val="18"/>
          <w:szCs w:val="18"/>
        </w:rPr>
        <w:t>　継続研修　　年２回</w:t>
      </w:r>
    </w:p>
    <w:p>
      <w:pPr>
        <w:wordWrap w:val="0"/>
        <w:spacing w:line="536870550" w:lineRule="auto"/>
        <w:ind w:right="215" w:firstLine="180" w:firstLineChars="100"/>
        <w:jc w:val="left"/>
        <w:rPr>
          <w:sz w:val="18"/>
          <w:szCs w:val="18"/>
        </w:rPr>
      </w:pPr>
      <w:r>
        <w:rPr>
          <w:rFonts w:hint="eastAsia"/>
          <w:sz w:val="18"/>
          <w:szCs w:val="18"/>
        </w:rPr>
        <w:t>２　従業者は業務上知り得た利用者又はその家族の秘密を保持する。</w:t>
      </w:r>
    </w:p>
    <w:p>
      <w:pPr>
        <w:wordWrap w:val="0"/>
        <w:spacing w:line="536870550" w:lineRule="auto"/>
        <w:ind w:left="180" w:right="215" w:hanging="180" w:hangingChars="100"/>
        <w:jc w:val="left"/>
        <w:rPr>
          <w:sz w:val="18"/>
          <w:szCs w:val="18"/>
        </w:rPr>
      </w:pPr>
      <w:r>
        <w:rPr>
          <w:rFonts w:hint="eastAsia"/>
          <w:sz w:val="18"/>
          <w:szCs w:val="18"/>
        </w:rPr>
        <w:t>３　従業者であった者に、業務上知り得た利用者又はその家族の秘密を保持させるため、従業者でなくなった後においてもこれらの秘密を保持するべき旨を、従業者との雇用契約の内容とする。</w:t>
      </w:r>
    </w:p>
    <w:p>
      <w:pPr>
        <w:wordWrap w:val="0"/>
        <w:spacing w:line="536870550" w:lineRule="auto"/>
        <w:ind w:right="215"/>
        <w:jc w:val="left"/>
        <w:rPr>
          <w:sz w:val="18"/>
          <w:szCs w:val="18"/>
        </w:rPr>
      </w:pPr>
      <w:r>
        <w:rPr>
          <w:rFonts w:hint="eastAsia"/>
          <w:sz w:val="18"/>
          <w:szCs w:val="18"/>
        </w:rPr>
        <w:t>４　この規程に定める事項のほか、運営に関する重要事項は株式会社ｈｙｇｅｉａと事業所の管理者との協議に基づいて定めるものとする。</w:t>
      </w:r>
    </w:p>
    <w:p>
      <w:pPr>
        <w:wordWrap w:val="0"/>
        <w:spacing w:line="536870550" w:lineRule="auto"/>
        <w:ind w:right="215"/>
        <w:jc w:val="left"/>
        <w:rPr>
          <w:sz w:val="18"/>
          <w:szCs w:val="18"/>
        </w:rPr>
      </w:pPr>
    </w:p>
    <w:p>
      <w:pPr>
        <w:wordWrap w:val="0"/>
        <w:spacing w:line="536870550" w:lineRule="auto"/>
        <w:ind w:right="215"/>
        <w:jc w:val="left"/>
        <w:rPr>
          <w:color w:val="auto"/>
          <w:sz w:val="18"/>
          <w:szCs w:val="18"/>
        </w:rPr>
      </w:pPr>
      <w:r>
        <w:rPr>
          <w:rFonts w:hint="eastAsia"/>
          <w:color w:val="auto"/>
          <w:sz w:val="18"/>
          <w:szCs w:val="18"/>
        </w:rPr>
        <w:t>（業務継続計画の策定等）</w:t>
      </w:r>
    </w:p>
    <w:p>
      <w:pPr>
        <w:wordWrap w:val="0"/>
        <w:spacing w:line="536870550" w:lineRule="auto"/>
        <w:ind w:right="215"/>
        <w:jc w:val="left"/>
        <w:rPr>
          <w:color w:val="auto"/>
          <w:sz w:val="18"/>
          <w:szCs w:val="18"/>
        </w:rPr>
      </w:pPr>
      <w:r>
        <w:rPr>
          <w:rFonts w:hint="eastAsia"/>
          <w:color w:val="auto"/>
          <w:sz w:val="18"/>
          <w:szCs w:val="18"/>
        </w:rPr>
        <w:t>第１４条　</w:t>
      </w:r>
    </w:p>
    <w:p>
      <w:pPr>
        <w:wordWrap w:val="0"/>
        <w:spacing w:line="536870550" w:lineRule="auto"/>
        <w:ind w:left="180" w:right="215" w:hanging="180" w:hangingChars="100"/>
        <w:jc w:val="left"/>
        <w:rPr>
          <w:color w:val="auto"/>
          <w:sz w:val="18"/>
          <w:szCs w:val="18"/>
        </w:rPr>
      </w:pPr>
      <w:r>
        <w:rPr>
          <w:rFonts w:hint="eastAsia"/>
          <w:color w:val="auto"/>
          <w:sz w:val="18"/>
          <w:szCs w:val="18"/>
        </w:rPr>
        <w:t>１　当事業所は、感染症や非常災害の発生において、利用者に対する指定居宅介護支援の提供を継続的に実施するための、及び非常時の体制で早期の業務再開を図るための計画（以下「業務継続計画」という）を策定し、当核業務継続計画に従い、必要な措置を講ずるものとする。</w:t>
      </w:r>
    </w:p>
    <w:p>
      <w:pPr>
        <w:wordWrap w:val="0"/>
        <w:spacing w:line="536870550" w:lineRule="auto"/>
        <w:ind w:right="215"/>
        <w:jc w:val="left"/>
        <w:rPr>
          <w:color w:val="auto"/>
          <w:sz w:val="18"/>
          <w:szCs w:val="18"/>
        </w:rPr>
      </w:pPr>
      <w:r>
        <w:rPr>
          <w:rFonts w:hint="eastAsia"/>
          <w:color w:val="auto"/>
          <w:sz w:val="18"/>
          <w:szCs w:val="18"/>
        </w:rPr>
        <w:t>２　事業者は従業者に対し、業務継続計画について説明、周知するとともに、必要な研修及び訓練を定期的に実施するものとする。</w:t>
      </w:r>
    </w:p>
    <w:p>
      <w:pPr>
        <w:wordWrap w:val="0"/>
        <w:spacing w:line="536870550" w:lineRule="auto"/>
        <w:ind w:right="215"/>
        <w:jc w:val="left"/>
        <w:rPr>
          <w:color w:val="auto"/>
          <w:sz w:val="18"/>
          <w:szCs w:val="18"/>
        </w:rPr>
      </w:pPr>
      <w:r>
        <w:rPr>
          <w:rFonts w:hint="eastAsia"/>
          <w:color w:val="auto"/>
          <w:sz w:val="18"/>
          <w:szCs w:val="18"/>
        </w:rPr>
        <w:t>３　事業所は、定期的に業務継続計画の見直しを行い、必要に応じて業務継続計画の変更を行うものとする。</w:t>
      </w:r>
    </w:p>
    <w:p>
      <w:pPr>
        <w:wordWrap w:val="0"/>
        <w:spacing w:line="536870550" w:lineRule="auto"/>
        <w:ind w:right="215"/>
        <w:jc w:val="left"/>
        <w:rPr>
          <w:sz w:val="18"/>
          <w:szCs w:val="18"/>
        </w:rPr>
      </w:pPr>
    </w:p>
    <w:p>
      <w:pPr>
        <w:wordWrap w:val="0"/>
        <w:spacing w:line="536870550" w:lineRule="auto"/>
        <w:ind w:right="215"/>
        <w:jc w:val="left"/>
        <w:rPr>
          <w:rFonts w:hint="eastAsia"/>
          <w:sz w:val="18"/>
          <w:szCs w:val="18"/>
        </w:rPr>
      </w:pPr>
    </w:p>
    <w:p>
      <w:pPr>
        <w:wordWrap w:val="0"/>
        <w:spacing w:line="536870550" w:lineRule="auto"/>
        <w:ind w:right="215"/>
        <w:jc w:val="left"/>
        <w:rPr>
          <w:sz w:val="18"/>
          <w:szCs w:val="18"/>
        </w:rPr>
      </w:pPr>
      <w:r>
        <w:rPr>
          <w:rFonts w:hint="eastAsia"/>
          <w:sz w:val="18"/>
          <w:szCs w:val="18"/>
        </w:rPr>
        <w:t>　　附　則　この規程は、令和６年５月１日から施行する。</w:t>
      </w:r>
    </w:p>
    <w:p>
      <w:pPr>
        <w:wordWrap w:val="0"/>
        <w:spacing w:line="536870550" w:lineRule="auto"/>
        <w:ind w:right="215" w:firstLine="1080" w:firstLineChars="600"/>
        <w:jc w:val="left"/>
        <w:rPr>
          <w:rFonts w:hint="eastAsia"/>
          <w:sz w:val="18"/>
          <w:szCs w:val="18"/>
        </w:rPr>
      </w:pPr>
      <w:r>
        <w:rPr>
          <w:rFonts w:hint="eastAsia"/>
          <w:sz w:val="18"/>
          <w:szCs w:val="18"/>
        </w:rPr>
        <w:t>この規定は、令和7年8月１日から施行する。</w:t>
      </w:r>
    </w:p>
    <w:p>
      <w:pPr>
        <w:wordWrap w:val="0"/>
        <w:spacing w:line="536870550" w:lineRule="auto"/>
        <w:ind w:right="215"/>
        <w:jc w:val="left"/>
        <w:rPr>
          <w:rFonts w:hint="eastAsia"/>
        </w:rPr>
      </w:pPr>
      <w:r>
        <w:rPr>
          <w:rFonts w:hint="eastAsia"/>
        </w:rPr>
        <w:t>　　　　　</w:t>
      </w:r>
    </w:p>
    <w:p>
      <w:pPr>
        <w:widowControl/>
        <w:jc w:val="left"/>
      </w:pPr>
      <w:r>
        <w:br w:type="page"/>
      </w:r>
    </w:p>
    <w:p>
      <w:pPr>
        <w:widowControl/>
        <w:jc w:val="left"/>
      </w:pPr>
    </w:p>
    <w:p>
      <w:pPr>
        <w:wordWrap w:val="0"/>
        <w:spacing w:line="536870550" w:lineRule="auto"/>
        <w:ind w:right="215"/>
        <w:jc w:val="left"/>
      </w:pPr>
    </w:p>
    <w:p>
      <w:pPr>
        <w:wordWrap w:val="0"/>
        <w:spacing w:line="536870550" w:lineRule="auto"/>
        <w:ind w:right="215"/>
        <w:jc w:val="left"/>
      </w:pPr>
      <w:r>
        <mc:AlternateContent>
          <mc:Choice Requires="wps">
            <w:drawing>
              <wp:anchor distT="45720" distB="45720" distL="114300" distR="114300" simplePos="0" relativeHeight="251661312" behindDoc="0" locked="0" layoutInCell="1" allowOverlap="1">
                <wp:simplePos x="0" y="0"/>
                <wp:positionH relativeFrom="margin">
                  <wp:posOffset>0</wp:posOffset>
                </wp:positionH>
                <wp:positionV relativeFrom="paragraph">
                  <wp:posOffset>45720</wp:posOffset>
                </wp:positionV>
                <wp:extent cx="6248400" cy="1404620"/>
                <wp:effectExtent l="0" t="0" r="19050" b="13970"/>
                <wp:wrapNone/>
                <wp:docPr id="217" name="テキスト ボックス 2"/>
                <wp:cNvGraphicFramePr/>
                <a:graphic xmlns:a="http://schemas.openxmlformats.org/drawingml/2006/main">
                  <a:graphicData uri="http://schemas.microsoft.com/office/word/2010/wordprocessingShape">
                    <wps:wsp>
                      <wps:cNvSpPr txBox="1">
                        <a:spLocks noChangeArrowheads="1"/>
                      </wps:cNvSpPr>
                      <wps:spPr bwMode="auto">
                        <a:xfrm>
                          <a:off x="0" y="0"/>
                          <a:ext cx="6248400" cy="1404620"/>
                        </a:xfrm>
                        <a:prstGeom prst="rect">
                          <a:avLst/>
                        </a:prstGeom>
                        <a:solidFill>
                          <a:srgbClr val="FFFFFF"/>
                        </a:solidFill>
                        <a:ln w="9525">
                          <a:solidFill>
                            <a:srgbClr val="000000"/>
                          </a:solidFill>
                          <a:miter lim="800000"/>
                        </a:ln>
                      </wps:spPr>
                      <wps:txbx>
                        <w:txbxContent>
                          <w:p>
                            <w:pPr>
                              <w:ind w:left="210" w:hanging="210" w:hangingChars="100"/>
                            </w:pPr>
                            <w:r>
                              <w:rPr>
                                <w:rFonts w:hint="eastAsia"/>
                              </w:rPr>
                              <w:t>☆　この規程の例は、あくまで現時点で想定されるイメージであり、記載の仕方やその内容は、基準を満たす限り、任意のもので構わないものである。</w:t>
                            </w:r>
                          </w:p>
                          <w:p>
                            <w:r>
                              <w:rPr>
                                <w:rFonts w:hint="eastAsia"/>
                              </w:rPr>
                              <w:t>※　通常の事業の実施地域については、以下のとおりとする。</w:t>
                            </w:r>
                          </w:p>
                          <w:p>
                            <w:pPr>
                              <w:ind w:firstLine="210" w:firstLineChars="100"/>
                            </w:pPr>
                            <w:r>
                              <w:rPr>
                                <w:rFonts w:hint="eastAsia"/>
                              </w:rPr>
                              <w:t>・利用申込みに係る調整の観点から定めるもの※であること（※「提供拒否の禁止」）</w:t>
                            </w:r>
                          </w:p>
                          <w:p>
                            <w:pPr>
                              <w:ind w:firstLine="210" w:firstLineChars="100"/>
                            </w:pPr>
                            <w:r>
                              <w:rPr>
                                <w:rFonts w:hint="eastAsia"/>
                              </w:rPr>
                              <w:t>・客観的にその区域が特定できるものでなければならないこと</w:t>
                            </w:r>
                          </w:p>
                          <w:p>
                            <w:pPr>
                              <w:ind w:firstLine="210" w:firstLineChars="100"/>
                            </w:pPr>
                            <w:r>
                              <w:rPr>
                                <w:rFonts w:hint="eastAsia"/>
                              </w:rPr>
                              <w:t>ア：事業所所在地がある地域が通常の事業の実施地域となっていること</w:t>
                            </w:r>
                          </w:p>
                          <w:p>
                            <w:pPr>
                              <w:ind w:firstLine="210" w:firstLineChars="100"/>
                            </w:pPr>
                            <w:r>
                              <w:rPr>
                                <w:rFonts w:hint="eastAsia"/>
                              </w:rPr>
                              <w:t>イ：通常の事業の実施地域は地続きによるものとし、飛び地による設定はできないこと</w:t>
                            </w:r>
                          </w:p>
                          <w:p>
                            <w:pPr>
                              <w:ind w:firstLine="210" w:firstLineChars="100"/>
                            </w:pPr>
                            <w:r>
                              <w:rPr>
                                <w:rFonts w:hint="eastAsia"/>
                              </w:rPr>
                              <w:t>ウ：通常の事業の実施地域の表記については、「半径○ｋｍ以内」など曖昧な表記は不可</w:t>
                            </w:r>
                          </w:p>
                          <w:p>
                            <w:pPr>
                              <w:ind w:firstLine="210" w:firstLineChars="100"/>
                            </w:pPr>
                            <w:r>
                              <w:rPr>
                                <w:rFonts w:hint="eastAsia"/>
                              </w:rPr>
                              <w:t>エ：一部地域とする場合は、「○○町一丁目」等の表記により詳細を示すこと</w:t>
                            </w:r>
                          </w:p>
                          <w:p>
                            <w:pPr>
                              <w:ind w:firstLine="210" w:firstLineChars="100"/>
                            </w:pPr>
                            <w:r>
                              <w:rPr>
                                <w:rFonts w:hint="eastAsia"/>
                              </w:rPr>
                              <w:t>オ：通常の事業の実施地域を「東京都全域」とした場合、島しょ地域も含まれることに留意</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テキスト ボックス 2" o:spid="_x0000_s1026" o:spt="202" type="#_x0000_t202" style="position:absolute;left:0pt;margin-left:0pt;margin-top:3.6pt;height:110.6pt;width:492pt;mso-position-horizontal-relative:margin;z-index:251661312;mso-width-relative:page;mso-height-relative:margin;mso-height-percent:200;" fillcolor="#FFFFFF" filled="t" stroked="t" coordsize="21600,21600" o:gfxdata="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4esL09QAAAAGAQAADwAAAAAAAAABACAAAAAiAAAAZHJzL2Rvd25yZXYueG1sUEsBAhQA&#10;FAAAAAgAh07iQAgVL4IvAgAAQAQAAA4AAAAAAAAAAQAgAAAAIwEAAGRycy9lMm9Eb2MueG1sUEsF&#10;BgAAAAAGAAYAWQEAAMQFAAAAAA==&#10;">
                <v:fill on="t" focussize="0,0"/>
                <v:stroke color="#000000" miterlimit="8" joinstyle="miter"/>
                <v:imagedata o:title=""/>
                <o:lock v:ext="edit" aspectratio="f"/>
                <v:textbox style="mso-fit-shape-to-text:t;">
                  <w:txbxContent>
                    <w:p>
                      <w:pPr>
                        <w:ind w:left="210" w:hanging="210" w:hangingChars="100"/>
                      </w:pPr>
                      <w:r>
                        <w:rPr>
                          <w:rFonts w:hint="eastAsia"/>
                        </w:rPr>
                        <w:t>☆　この規程の例は、あくまで現時点で想定されるイメージであり、記載の仕方やその内容は、基準を満たす限り、任意のもので構わないものである。</w:t>
                      </w:r>
                    </w:p>
                    <w:p>
                      <w:r>
                        <w:rPr>
                          <w:rFonts w:hint="eastAsia"/>
                        </w:rPr>
                        <w:t>※　通常の事業の実施地域については、以下のとおりとする。</w:t>
                      </w:r>
                    </w:p>
                    <w:p>
                      <w:pPr>
                        <w:ind w:firstLine="210" w:firstLineChars="100"/>
                      </w:pPr>
                      <w:r>
                        <w:rPr>
                          <w:rFonts w:hint="eastAsia"/>
                        </w:rPr>
                        <w:t>・利用申込みに係る調整の観点から定めるもの※であること（※「提供拒否の禁止」）</w:t>
                      </w:r>
                    </w:p>
                    <w:p>
                      <w:pPr>
                        <w:ind w:firstLine="210" w:firstLineChars="100"/>
                      </w:pPr>
                      <w:r>
                        <w:rPr>
                          <w:rFonts w:hint="eastAsia"/>
                        </w:rPr>
                        <w:t>・客観的にその区域が特定できるものでなければならないこと</w:t>
                      </w:r>
                    </w:p>
                    <w:p>
                      <w:pPr>
                        <w:ind w:firstLine="210" w:firstLineChars="100"/>
                      </w:pPr>
                      <w:r>
                        <w:rPr>
                          <w:rFonts w:hint="eastAsia"/>
                        </w:rPr>
                        <w:t>ア：事業所所在地がある地域が通常の事業の実施地域となっていること</w:t>
                      </w:r>
                    </w:p>
                    <w:p>
                      <w:pPr>
                        <w:ind w:firstLine="210" w:firstLineChars="100"/>
                      </w:pPr>
                      <w:r>
                        <w:rPr>
                          <w:rFonts w:hint="eastAsia"/>
                        </w:rPr>
                        <w:t>イ：通常の事業の実施地域は地続きによるものとし、飛び地による設定はできないこと</w:t>
                      </w:r>
                    </w:p>
                    <w:p>
                      <w:pPr>
                        <w:ind w:firstLine="210" w:firstLineChars="100"/>
                      </w:pPr>
                      <w:r>
                        <w:rPr>
                          <w:rFonts w:hint="eastAsia"/>
                        </w:rPr>
                        <w:t>ウ：通常の事業の実施地域の表記については、「半径○ｋｍ以内」など曖昧な表記は不可</w:t>
                      </w:r>
                    </w:p>
                    <w:p>
                      <w:pPr>
                        <w:ind w:firstLine="210" w:firstLineChars="100"/>
                      </w:pPr>
                      <w:r>
                        <w:rPr>
                          <w:rFonts w:hint="eastAsia"/>
                        </w:rPr>
                        <w:t>エ：一部地域とする場合は、「○○町一丁目」等の表記により詳細を示すこと</w:t>
                      </w:r>
                    </w:p>
                    <w:p>
                      <w:pPr>
                        <w:ind w:firstLine="210" w:firstLineChars="100"/>
                      </w:pPr>
                      <w:r>
                        <w:rPr>
                          <w:rFonts w:hint="eastAsia"/>
                        </w:rPr>
                        <w:t>オ：通常の事業の実施地域を「東京都全域」とした場合、島しょ地域も含まれることに留意</w:t>
                      </w:r>
                    </w:p>
                  </w:txbxContent>
                </v:textbox>
              </v:shape>
            </w:pict>
          </mc:Fallback>
        </mc:AlternateContent>
      </w:r>
    </w:p>
    <w:sectPr>
      <w:pgSz w:w="11906" w:h="16838"/>
      <w:pgMar w:top="900" w:right="1021" w:bottom="709" w:left="1021" w:header="851" w:footer="992" w:gutter="0"/>
      <w:cols w:space="425" w:num="1"/>
      <w:docGrid w:type="linesAndChars" w:linePitch="360" w:charSpace="-2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auto"/>
    <w:pitch w:val="default"/>
    <w:sig w:usb0="E4002EFF" w:usb1="C200247B" w:usb2="00000009" w:usb3="00000000" w:csb0="200001FF" w:csb1="00000000"/>
  </w:font>
  <w:font w:name="游ゴシックRegular">
    <w:altName w:val="HGPｺﾞｼｯｸE"/>
    <w:panose1 w:val="00000000000000000000"/>
    <w:charset w:val="80"/>
    <w:family w:val="auto"/>
    <w:pitch w:val="default"/>
    <w:sig w:usb0="00000000" w:usb1="00000000" w:usb2="00000010" w:usb3="00000000" w:csb0="00020000" w:csb1="00000000"/>
  </w:font>
  <w:font w:name="ＭＳ Ｐゴシック">
    <w:panose1 w:val="020B0600070205080204"/>
    <w:charset w:val="80"/>
    <w:family w:val="auto"/>
    <w:pitch w:val="default"/>
    <w:sig w:usb0="E00002FF" w:usb1="6AC7FDFB" w:usb2="08000012" w:usb3="00000000" w:csb0="4002009F" w:csb1="DFD70000"/>
  </w:font>
  <w:font w:name="HGPｺﾞｼｯｸE">
    <w:panose1 w:val="020B0900000000000000"/>
    <w:charset w:val="80"/>
    <w:family w:val="auto"/>
    <w:pitch w:val="default"/>
    <w:sig w:usb0="E00002FF" w:usb1="2AC7EDFE" w:usb2="00000012"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B0F0F"/>
    <w:multiLevelType w:val="singleLevel"/>
    <w:tmpl w:val="199B0F0F"/>
    <w:lvl w:ilvl="0" w:tentative="0">
      <w:start w:val="1"/>
      <w:numFmt w:val="decimalFullWidth"/>
      <w:pStyle w:val="2"/>
      <w:lvlText w:val="%1."/>
      <w:lvlJc w:val="left"/>
      <w:pPr>
        <w:tabs>
          <w:tab w:val="left" w:pos="360"/>
        </w:tabs>
        <w:ind w:left="360" w:hanging="360"/>
      </w:pPr>
      <w:rPr>
        <w:rFonts w:hint="eastAsia"/>
      </w:rPr>
    </w:lvl>
  </w:abstractNum>
  <w:abstractNum w:abstractNumId="1">
    <w:nsid w:val="29915A10"/>
    <w:multiLevelType w:val="multilevel"/>
    <w:tmpl w:val="29915A10"/>
    <w:lvl w:ilvl="0" w:tentative="0">
      <w:start w:val="1"/>
      <w:numFmt w:val="decimalEnclosedCircle"/>
      <w:lvlText w:val="%1"/>
      <w:lvlJc w:val="left"/>
      <w:pPr>
        <w:ind w:left="540" w:hanging="360"/>
      </w:pPr>
      <w:rPr>
        <w:rFonts w:hint="default"/>
      </w:rPr>
    </w:lvl>
    <w:lvl w:ilvl="1" w:tentative="0">
      <w:start w:val="1"/>
      <w:numFmt w:val="aiueoFullWidth"/>
      <w:lvlText w:val="(%2)"/>
      <w:lvlJc w:val="left"/>
      <w:pPr>
        <w:ind w:left="1060" w:hanging="440"/>
      </w:pPr>
    </w:lvl>
    <w:lvl w:ilvl="2" w:tentative="0">
      <w:start w:val="1"/>
      <w:numFmt w:val="decimalEnclosedCircle"/>
      <w:lvlText w:val="%3"/>
      <w:lvlJc w:val="left"/>
      <w:pPr>
        <w:ind w:left="1500" w:hanging="440"/>
      </w:pPr>
    </w:lvl>
    <w:lvl w:ilvl="3" w:tentative="0">
      <w:start w:val="1"/>
      <w:numFmt w:val="decimal"/>
      <w:lvlText w:val="%4."/>
      <w:lvlJc w:val="left"/>
      <w:pPr>
        <w:ind w:left="1940" w:hanging="440"/>
      </w:pPr>
    </w:lvl>
    <w:lvl w:ilvl="4" w:tentative="0">
      <w:start w:val="1"/>
      <w:numFmt w:val="aiueoFullWidth"/>
      <w:lvlText w:val="(%5)"/>
      <w:lvlJc w:val="left"/>
      <w:pPr>
        <w:ind w:left="2380" w:hanging="440"/>
      </w:pPr>
    </w:lvl>
    <w:lvl w:ilvl="5" w:tentative="0">
      <w:start w:val="1"/>
      <w:numFmt w:val="decimalEnclosedCircle"/>
      <w:lvlText w:val="%6"/>
      <w:lvlJc w:val="left"/>
      <w:pPr>
        <w:ind w:left="2820" w:hanging="440"/>
      </w:pPr>
    </w:lvl>
    <w:lvl w:ilvl="6" w:tentative="0">
      <w:start w:val="1"/>
      <w:numFmt w:val="decimal"/>
      <w:lvlText w:val="%7."/>
      <w:lvlJc w:val="left"/>
      <w:pPr>
        <w:ind w:left="3260" w:hanging="440"/>
      </w:pPr>
    </w:lvl>
    <w:lvl w:ilvl="7" w:tentative="0">
      <w:start w:val="1"/>
      <w:numFmt w:val="aiueoFullWidth"/>
      <w:lvlText w:val="(%8)"/>
      <w:lvlJc w:val="left"/>
      <w:pPr>
        <w:ind w:left="3700" w:hanging="440"/>
      </w:pPr>
    </w:lvl>
    <w:lvl w:ilvl="8" w:tentative="0">
      <w:start w:val="1"/>
      <w:numFmt w:val="decimalEnclosedCircle"/>
      <w:lvlText w:val="%9"/>
      <w:lvlJc w:val="left"/>
      <w:pPr>
        <w:ind w:left="4140" w:hanging="440"/>
      </w:pPr>
    </w:lvl>
  </w:abstractNum>
  <w:abstractNum w:abstractNumId="2">
    <w:nsid w:val="2CB4342E"/>
    <w:multiLevelType w:val="singleLevel"/>
    <w:tmpl w:val="2CB4342E"/>
    <w:lvl w:ilvl="0" w:tentative="0">
      <w:start w:val="2"/>
      <w:numFmt w:val="decimalFullWidth"/>
      <w:lvlText w:val="第%1条"/>
      <w:lvlJc w:val="left"/>
      <w:pPr>
        <w:tabs>
          <w:tab w:val="left" w:pos="840"/>
        </w:tabs>
        <w:ind w:left="840" w:hanging="840"/>
      </w:pPr>
      <w:rPr>
        <w:rFonts w:hint="eastAsia"/>
      </w:rPr>
    </w:lvl>
  </w:abstractNum>
  <w:abstractNum w:abstractNumId="3">
    <w:nsid w:val="35CB6FCF"/>
    <w:multiLevelType w:val="multilevel"/>
    <w:tmpl w:val="35CB6FCF"/>
    <w:lvl w:ilvl="0" w:tentative="0">
      <w:start w:val="1"/>
      <w:numFmt w:val="decimalEnclosedCircle"/>
      <w:lvlText w:val="%1"/>
      <w:lvlJc w:val="left"/>
      <w:pPr>
        <w:ind w:left="540" w:hanging="360"/>
      </w:pPr>
      <w:rPr>
        <w:rFonts w:hint="default"/>
      </w:rPr>
    </w:lvl>
    <w:lvl w:ilvl="1" w:tentative="0">
      <w:start w:val="1"/>
      <w:numFmt w:val="aiueoFullWidth"/>
      <w:lvlText w:val="(%2)"/>
      <w:lvlJc w:val="left"/>
      <w:pPr>
        <w:ind w:left="1060" w:hanging="440"/>
      </w:pPr>
    </w:lvl>
    <w:lvl w:ilvl="2" w:tentative="0">
      <w:start w:val="1"/>
      <w:numFmt w:val="decimalEnclosedCircle"/>
      <w:lvlText w:val="%3"/>
      <w:lvlJc w:val="left"/>
      <w:pPr>
        <w:ind w:left="1500" w:hanging="440"/>
      </w:pPr>
    </w:lvl>
    <w:lvl w:ilvl="3" w:tentative="0">
      <w:start w:val="1"/>
      <w:numFmt w:val="decimal"/>
      <w:lvlText w:val="%4."/>
      <w:lvlJc w:val="left"/>
      <w:pPr>
        <w:ind w:left="1940" w:hanging="440"/>
      </w:pPr>
    </w:lvl>
    <w:lvl w:ilvl="4" w:tentative="0">
      <w:start w:val="1"/>
      <w:numFmt w:val="aiueoFullWidth"/>
      <w:lvlText w:val="(%5)"/>
      <w:lvlJc w:val="left"/>
      <w:pPr>
        <w:ind w:left="2380" w:hanging="440"/>
      </w:pPr>
    </w:lvl>
    <w:lvl w:ilvl="5" w:tentative="0">
      <w:start w:val="1"/>
      <w:numFmt w:val="decimalEnclosedCircle"/>
      <w:lvlText w:val="%6"/>
      <w:lvlJc w:val="left"/>
      <w:pPr>
        <w:ind w:left="2820" w:hanging="440"/>
      </w:pPr>
    </w:lvl>
    <w:lvl w:ilvl="6" w:tentative="0">
      <w:start w:val="1"/>
      <w:numFmt w:val="decimal"/>
      <w:lvlText w:val="%7."/>
      <w:lvlJc w:val="left"/>
      <w:pPr>
        <w:ind w:left="3260" w:hanging="440"/>
      </w:pPr>
    </w:lvl>
    <w:lvl w:ilvl="7" w:tentative="0">
      <w:start w:val="1"/>
      <w:numFmt w:val="aiueoFullWidth"/>
      <w:lvlText w:val="(%8)"/>
      <w:lvlJc w:val="left"/>
      <w:pPr>
        <w:ind w:left="3700" w:hanging="440"/>
      </w:pPr>
    </w:lvl>
    <w:lvl w:ilvl="8" w:tentative="0">
      <w:start w:val="1"/>
      <w:numFmt w:val="decimalEnclosedCircle"/>
      <w:lvlText w:val="%9"/>
      <w:lvlJc w:val="left"/>
      <w:pPr>
        <w:ind w:left="4140" w:hanging="440"/>
      </w:pPr>
    </w:lvl>
  </w:abstractNum>
  <w:abstractNum w:abstractNumId="4">
    <w:nsid w:val="3BD7798B"/>
    <w:multiLevelType w:val="multilevel"/>
    <w:tmpl w:val="3BD7798B"/>
    <w:lvl w:ilvl="0" w:tentative="0">
      <w:start w:val="1"/>
      <w:numFmt w:val="decimalEnclosedCircle"/>
      <w:lvlText w:val="%1"/>
      <w:lvlJc w:val="left"/>
      <w:pPr>
        <w:ind w:left="540" w:hanging="360"/>
      </w:pPr>
      <w:rPr>
        <w:rFonts w:hint="default"/>
      </w:rPr>
    </w:lvl>
    <w:lvl w:ilvl="1" w:tentative="0">
      <w:start w:val="1"/>
      <w:numFmt w:val="aiueoFullWidth"/>
      <w:lvlText w:val="(%2)"/>
      <w:lvlJc w:val="left"/>
      <w:pPr>
        <w:ind w:left="1060" w:hanging="440"/>
      </w:pPr>
    </w:lvl>
    <w:lvl w:ilvl="2" w:tentative="0">
      <w:start w:val="1"/>
      <w:numFmt w:val="decimalEnclosedCircle"/>
      <w:lvlText w:val="%3"/>
      <w:lvlJc w:val="left"/>
      <w:pPr>
        <w:ind w:left="1500" w:hanging="440"/>
      </w:pPr>
    </w:lvl>
    <w:lvl w:ilvl="3" w:tentative="0">
      <w:start w:val="1"/>
      <w:numFmt w:val="decimal"/>
      <w:lvlText w:val="%4."/>
      <w:lvlJc w:val="left"/>
      <w:pPr>
        <w:ind w:left="1940" w:hanging="440"/>
      </w:pPr>
    </w:lvl>
    <w:lvl w:ilvl="4" w:tentative="0">
      <w:start w:val="1"/>
      <w:numFmt w:val="aiueoFullWidth"/>
      <w:lvlText w:val="(%5)"/>
      <w:lvlJc w:val="left"/>
      <w:pPr>
        <w:ind w:left="2380" w:hanging="440"/>
      </w:pPr>
    </w:lvl>
    <w:lvl w:ilvl="5" w:tentative="0">
      <w:start w:val="1"/>
      <w:numFmt w:val="decimalEnclosedCircle"/>
      <w:lvlText w:val="%6"/>
      <w:lvlJc w:val="left"/>
      <w:pPr>
        <w:ind w:left="2820" w:hanging="440"/>
      </w:pPr>
    </w:lvl>
    <w:lvl w:ilvl="6" w:tentative="0">
      <w:start w:val="1"/>
      <w:numFmt w:val="decimal"/>
      <w:lvlText w:val="%7."/>
      <w:lvlJc w:val="left"/>
      <w:pPr>
        <w:ind w:left="3260" w:hanging="440"/>
      </w:pPr>
    </w:lvl>
    <w:lvl w:ilvl="7" w:tentative="0">
      <w:start w:val="1"/>
      <w:numFmt w:val="aiueoFullWidth"/>
      <w:lvlText w:val="(%8)"/>
      <w:lvlJc w:val="left"/>
      <w:pPr>
        <w:ind w:left="3700" w:hanging="440"/>
      </w:pPr>
    </w:lvl>
    <w:lvl w:ilvl="8" w:tentative="0">
      <w:start w:val="1"/>
      <w:numFmt w:val="decimalEnclosedCircle"/>
      <w:lvlText w:val="%9"/>
      <w:lvlJc w:val="left"/>
      <w:pPr>
        <w:ind w:left="4140" w:hanging="440"/>
      </w:pPr>
    </w:lvl>
  </w:abstractNum>
  <w:abstractNum w:abstractNumId="5">
    <w:nsid w:val="5F4F27D2"/>
    <w:multiLevelType w:val="multilevel"/>
    <w:tmpl w:val="5F4F27D2"/>
    <w:lvl w:ilvl="0" w:tentative="0">
      <w:start w:val="1"/>
      <w:numFmt w:val="decimalEnclosedCircle"/>
      <w:lvlText w:val="%1"/>
      <w:lvlJc w:val="left"/>
      <w:pPr>
        <w:ind w:left="540" w:hanging="360"/>
      </w:pPr>
      <w:rPr>
        <w:rFonts w:hint="default"/>
      </w:rPr>
    </w:lvl>
    <w:lvl w:ilvl="1" w:tentative="0">
      <w:start w:val="1"/>
      <w:numFmt w:val="aiueoFullWidth"/>
      <w:lvlText w:val="(%2)"/>
      <w:lvlJc w:val="left"/>
      <w:pPr>
        <w:ind w:left="1060" w:hanging="440"/>
      </w:pPr>
    </w:lvl>
    <w:lvl w:ilvl="2" w:tentative="0">
      <w:start w:val="1"/>
      <w:numFmt w:val="decimalEnclosedCircle"/>
      <w:lvlText w:val="%3"/>
      <w:lvlJc w:val="left"/>
      <w:pPr>
        <w:ind w:left="1500" w:hanging="440"/>
      </w:pPr>
    </w:lvl>
    <w:lvl w:ilvl="3" w:tentative="0">
      <w:start w:val="1"/>
      <w:numFmt w:val="decimal"/>
      <w:lvlText w:val="%4."/>
      <w:lvlJc w:val="left"/>
      <w:pPr>
        <w:ind w:left="1940" w:hanging="440"/>
      </w:pPr>
    </w:lvl>
    <w:lvl w:ilvl="4" w:tentative="0">
      <w:start w:val="1"/>
      <w:numFmt w:val="aiueoFullWidth"/>
      <w:lvlText w:val="(%5)"/>
      <w:lvlJc w:val="left"/>
      <w:pPr>
        <w:ind w:left="2380" w:hanging="440"/>
      </w:pPr>
    </w:lvl>
    <w:lvl w:ilvl="5" w:tentative="0">
      <w:start w:val="1"/>
      <w:numFmt w:val="decimalEnclosedCircle"/>
      <w:lvlText w:val="%6"/>
      <w:lvlJc w:val="left"/>
      <w:pPr>
        <w:ind w:left="2820" w:hanging="440"/>
      </w:pPr>
    </w:lvl>
    <w:lvl w:ilvl="6" w:tentative="0">
      <w:start w:val="1"/>
      <w:numFmt w:val="decimal"/>
      <w:lvlText w:val="%7."/>
      <w:lvlJc w:val="left"/>
      <w:pPr>
        <w:ind w:left="3260" w:hanging="440"/>
      </w:pPr>
    </w:lvl>
    <w:lvl w:ilvl="7" w:tentative="0">
      <w:start w:val="1"/>
      <w:numFmt w:val="aiueoFullWidth"/>
      <w:lvlText w:val="(%8)"/>
      <w:lvlJc w:val="left"/>
      <w:pPr>
        <w:ind w:left="3700" w:hanging="440"/>
      </w:pPr>
    </w:lvl>
    <w:lvl w:ilvl="8" w:tentative="0">
      <w:start w:val="1"/>
      <w:numFmt w:val="decimalEnclosedCircle"/>
      <w:lvlText w:val="%9"/>
      <w:lvlJc w:val="left"/>
      <w:pPr>
        <w:ind w:left="4140" w:hanging="44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851"/>
  <w:drawingGridHorizontalSpacing w:val="209"/>
  <w:drawingGridVerticalSpacing w:val="162"/>
  <w:displayHorizontalDrawingGridEvery w:val="0"/>
  <w:displayVerticalDrawingGridEvery w:val="2"/>
  <w:characterSpacingControl w:val="compressPunctuation"/>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CA6"/>
    <w:rsid w:val="00013A44"/>
    <w:rsid w:val="00032B14"/>
    <w:rsid w:val="00033B23"/>
    <w:rsid w:val="00034A82"/>
    <w:rsid w:val="00035EA3"/>
    <w:rsid w:val="000A259D"/>
    <w:rsid w:val="000B5065"/>
    <w:rsid w:val="000D2FDE"/>
    <w:rsid w:val="000D3CA6"/>
    <w:rsid w:val="000E08E1"/>
    <w:rsid w:val="000E6B64"/>
    <w:rsid w:val="00102AED"/>
    <w:rsid w:val="00103BF6"/>
    <w:rsid w:val="001216F8"/>
    <w:rsid w:val="001324C1"/>
    <w:rsid w:val="00145844"/>
    <w:rsid w:val="001B5A28"/>
    <w:rsid w:val="001C0105"/>
    <w:rsid w:val="001E570C"/>
    <w:rsid w:val="00200D1F"/>
    <w:rsid w:val="00224C8C"/>
    <w:rsid w:val="00237616"/>
    <w:rsid w:val="00254443"/>
    <w:rsid w:val="0026693C"/>
    <w:rsid w:val="0029321D"/>
    <w:rsid w:val="002A1B00"/>
    <w:rsid w:val="002C5868"/>
    <w:rsid w:val="003018EC"/>
    <w:rsid w:val="00326C8F"/>
    <w:rsid w:val="00340F57"/>
    <w:rsid w:val="00353BF2"/>
    <w:rsid w:val="003929DB"/>
    <w:rsid w:val="003C72AD"/>
    <w:rsid w:val="00405445"/>
    <w:rsid w:val="00412AE0"/>
    <w:rsid w:val="0047645F"/>
    <w:rsid w:val="0048564B"/>
    <w:rsid w:val="00485BD9"/>
    <w:rsid w:val="004B4C7F"/>
    <w:rsid w:val="004E55E7"/>
    <w:rsid w:val="004F15A1"/>
    <w:rsid w:val="005004E1"/>
    <w:rsid w:val="005073BB"/>
    <w:rsid w:val="00534EDF"/>
    <w:rsid w:val="00594732"/>
    <w:rsid w:val="005B160D"/>
    <w:rsid w:val="005B4D6D"/>
    <w:rsid w:val="00607442"/>
    <w:rsid w:val="00612AF7"/>
    <w:rsid w:val="006237B1"/>
    <w:rsid w:val="0062668E"/>
    <w:rsid w:val="00631589"/>
    <w:rsid w:val="00673B43"/>
    <w:rsid w:val="0068502F"/>
    <w:rsid w:val="006B5296"/>
    <w:rsid w:val="006B556E"/>
    <w:rsid w:val="00776495"/>
    <w:rsid w:val="007C2DED"/>
    <w:rsid w:val="00840C6E"/>
    <w:rsid w:val="00887E0D"/>
    <w:rsid w:val="008C28E0"/>
    <w:rsid w:val="008E7523"/>
    <w:rsid w:val="008F3467"/>
    <w:rsid w:val="00930E0F"/>
    <w:rsid w:val="00931F0A"/>
    <w:rsid w:val="00946A14"/>
    <w:rsid w:val="00992C94"/>
    <w:rsid w:val="009A62DC"/>
    <w:rsid w:val="009C7BEC"/>
    <w:rsid w:val="009D012F"/>
    <w:rsid w:val="009E32A7"/>
    <w:rsid w:val="009F31C4"/>
    <w:rsid w:val="00A34454"/>
    <w:rsid w:val="00A5371F"/>
    <w:rsid w:val="00A732FF"/>
    <w:rsid w:val="00A80C50"/>
    <w:rsid w:val="00AA2A87"/>
    <w:rsid w:val="00B63585"/>
    <w:rsid w:val="00B87B01"/>
    <w:rsid w:val="00BA5077"/>
    <w:rsid w:val="00BD491E"/>
    <w:rsid w:val="00BD631F"/>
    <w:rsid w:val="00BE43DD"/>
    <w:rsid w:val="00C0305C"/>
    <w:rsid w:val="00C13430"/>
    <w:rsid w:val="00C153E8"/>
    <w:rsid w:val="00C25060"/>
    <w:rsid w:val="00C3413C"/>
    <w:rsid w:val="00C9160E"/>
    <w:rsid w:val="00CD2030"/>
    <w:rsid w:val="00CE33F2"/>
    <w:rsid w:val="00D33346"/>
    <w:rsid w:val="00D4371D"/>
    <w:rsid w:val="00D53A50"/>
    <w:rsid w:val="00D66CA3"/>
    <w:rsid w:val="00D71BE4"/>
    <w:rsid w:val="00D9160F"/>
    <w:rsid w:val="00DC6049"/>
    <w:rsid w:val="00DC7A50"/>
    <w:rsid w:val="00DD34E9"/>
    <w:rsid w:val="00E0215C"/>
    <w:rsid w:val="00E07AF9"/>
    <w:rsid w:val="00E32CCB"/>
    <w:rsid w:val="00E60DB0"/>
    <w:rsid w:val="00E63B8B"/>
    <w:rsid w:val="00E656AC"/>
    <w:rsid w:val="00E82A24"/>
    <w:rsid w:val="00EF7989"/>
    <w:rsid w:val="00F11E3A"/>
    <w:rsid w:val="00F26648"/>
    <w:rsid w:val="00F42DBC"/>
    <w:rsid w:val="00F62133"/>
    <w:rsid w:val="00F63E00"/>
    <w:rsid w:val="00FA6FDD"/>
    <w:rsid w:val="00FB7E61"/>
    <w:rsid w:val="00FD768B"/>
    <w:rsid w:val="00FE7F8D"/>
    <w:rsid w:val="0CD56187"/>
    <w:rsid w:val="3ADC72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entury" w:hAnsi="Century" w:eastAsia="ＭＳ 明朝"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entury" w:hAnsi="Century" w:eastAsia="ＭＳ 明朝" w:cs="Times New Roman"/>
      <w:kern w:val="2"/>
      <w:sz w:val="21"/>
      <w:lang w:val="en-US" w:eastAsia="ja-JP" w:bidi="ar-SA"/>
    </w:rPr>
  </w:style>
  <w:style w:type="paragraph" w:styleId="2">
    <w:name w:val="heading 1"/>
    <w:basedOn w:val="1"/>
    <w:next w:val="1"/>
    <w:qFormat/>
    <w:uiPriority w:val="0"/>
    <w:pPr>
      <w:keepNext/>
      <w:numPr>
        <w:ilvl w:val="0"/>
        <w:numId w:val="1"/>
      </w:numPr>
      <w:outlineLvl w:val="0"/>
    </w:pPr>
    <w:rPr>
      <w:rFonts w:ascii="Arial" w:hAnsi="Arial" w:eastAsia="ＭＳ ゴシック"/>
      <w:sz w:val="24"/>
    </w:rPr>
  </w:style>
  <w:style w:type="character" w:default="1" w:styleId="6">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0"/>
    <w:unhideWhenUsed/>
    <w:uiPriority w:val="0"/>
    <w:pPr>
      <w:tabs>
        <w:tab w:val="center" w:pos="4252"/>
        <w:tab w:val="right" w:pos="8504"/>
      </w:tabs>
      <w:snapToGrid w:val="0"/>
    </w:pPr>
  </w:style>
  <w:style w:type="paragraph" w:styleId="4">
    <w:name w:val="Balloon Text"/>
    <w:basedOn w:val="1"/>
    <w:semiHidden/>
    <w:uiPriority w:val="0"/>
    <w:rPr>
      <w:rFonts w:ascii="Arial" w:hAnsi="Arial" w:eastAsia="ＭＳ ゴシック"/>
      <w:sz w:val="18"/>
      <w:szCs w:val="18"/>
    </w:rPr>
  </w:style>
  <w:style w:type="paragraph" w:styleId="5">
    <w:name w:val="header"/>
    <w:basedOn w:val="1"/>
    <w:link w:val="9"/>
    <w:unhideWhenUsed/>
    <w:qFormat/>
    <w:uiPriority w:val="0"/>
    <w:pPr>
      <w:tabs>
        <w:tab w:val="center" w:pos="4252"/>
        <w:tab w:val="right" w:pos="8504"/>
      </w:tabs>
      <w:snapToGrid w:val="0"/>
    </w:p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ヘッダー (文字)"/>
    <w:basedOn w:val="6"/>
    <w:link w:val="5"/>
    <w:uiPriority w:val="0"/>
    <w:rPr>
      <w:kern w:val="2"/>
      <w:sz w:val="21"/>
    </w:rPr>
  </w:style>
  <w:style w:type="character" w:customStyle="1" w:styleId="10">
    <w:name w:val="フッター (文字)"/>
    <w:basedOn w:val="6"/>
    <w:link w:val="3"/>
    <w:qFormat/>
    <w:uiPriority w:val="0"/>
    <w:rPr>
      <w:kern w:val="2"/>
      <w:sz w:val="21"/>
    </w:rPr>
  </w:style>
  <w:style w:type="paragraph" w:styleId="11">
    <w:name w:val="List Paragraph"/>
    <w:basedOn w:val="1"/>
    <w:qFormat/>
    <w:uiPriority w:val="34"/>
    <w:pPr>
      <w:ind w:left="840" w:leftChars="4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41\NEWDOC.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NEWDOC.DOT</Template>
  <Company>東京都</Company>
  <Pages>4</Pages>
  <Words>456</Words>
  <Characters>2605</Characters>
  <Lines>21</Lines>
  <Paragraphs>6</Paragraphs>
  <TotalTime>34</TotalTime>
  <ScaleCrop>false</ScaleCrop>
  <LinksUpToDate>false</LinksUpToDate>
  <CharactersWithSpaces>3055</CharactersWithSpaces>
  <Application>WPS Office_11.8.2.8498_F1E327BC-269C-435d-A152-05C5408002CA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2025-08-12T10:32:00Z</dcterms:created>
  <dc:creator>介護保険事業課</dc:creator>
  <cp:lastModifiedBy>hakoy</cp:lastModifiedBy>
  <cp:lastPrinted>2025-08-30T23:37:00Z</cp:lastPrinted>
  <dcterms:modified xsi:type="dcterms:W3CDTF">2026-10-20T03:27:12Z</dcterms:modified>
  <dc:title>１</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